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石墨烯粉体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材料鉴别计量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技术规范（征求意见稿）</w:t>
      </w:r>
    </w:p>
    <w:p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不确定度评定</w:t>
      </w:r>
    </w:p>
    <w:p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1. 测量方法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/>
          <w:sz w:val="24"/>
        </w:rPr>
        <w:t>在石墨烯粉体技术规范中规定了拉曼频移、X射线衍射2</w:t>
      </w:r>
      <w:r>
        <w:rPr>
          <w:rStyle w:val="75"/>
          <w:i/>
          <w:sz w:val="24"/>
        </w:rPr>
        <w:t>θ</w:t>
      </w:r>
      <w:r>
        <w:rPr>
          <w:rFonts w:hint="eastAsia"/>
          <w:sz w:val="24"/>
        </w:rPr>
        <w:t>角、厚度、透射电镜的测量方法的校准方法。我们以某一石墨烯粉体材料为例，对不确定度评定过程进行分析。</w:t>
      </w:r>
    </w:p>
    <w:p>
      <w:pPr>
        <w:spacing w:line="360" w:lineRule="auto"/>
        <w:ind w:firstLine="480"/>
        <w:rPr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 xml:space="preserve"> 拉曼频移的校准不确定度评定示例</w:t>
      </w: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.1 校准方法简述及测量模型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以标准物质的拉曼测量平均值为纵坐标，以标准物质的频移标准值为横坐标，对所得数据点进行线性拟合，如式</w:t>
      </w:r>
      <w:r>
        <w:rPr>
          <w:rFonts w:hint="eastAsia"/>
          <w:sz w:val="24"/>
        </w:rPr>
        <w:t>(</w:t>
      </w:r>
      <w:r>
        <w:rPr>
          <w:sz w:val="24"/>
        </w:rPr>
        <w:t>1</w:t>
      </w:r>
      <w:r>
        <w:rPr>
          <w:rFonts w:hint="eastAsia"/>
          <w:sz w:val="24"/>
        </w:rPr>
        <w:t>)</w:t>
      </w:r>
      <w:r>
        <w:rPr>
          <w:sz w:val="24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y</w:t>
      </w:r>
      <w:r>
        <w:rPr>
          <w:sz w:val="24"/>
        </w:rPr>
        <w:t>=</w:t>
      </w:r>
      <w:r>
        <w:rPr>
          <w:i/>
          <w:sz w:val="24"/>
        </w:rPr>
        <w:t>a</w:t>
      </w:r>
      <w:r>
        <w:rPr>
          <w:sz w:val="24"/>
        </w:rPr>
        <w:t>+</w:t>
      </w:r>
      <w:r>
        <w:rPr>
          <w:i/>
          <w:sz w:val="24"/>
        </w:rPr>
        <w:t>bx</w:t>
      </w:r>
      <w:r>
        <w:rPr>
          <w:sz w:val="24"/>
        </w:rPr>
        <w:t xml:space="preserve">                                              </w:t>
      </w:r>
      <w:r>
        <w:rPr>
          <w:rFonts w:hint="eastAsia"/>
          <w:sz w:val="24"/>
        </w:rPr>
        <w:t>(</w:t>
      </w:r>
      <w:r>
        <w:rPr>
          <w:sz w:val="24"/>
        </w:rPr>
        <w:t>1</w:t>
      </w:r>
      <w:r>
        <w:rPr>
          <w:rFonts w:hint="eastAsia"/>
          <w:sz w:val="24"/>
        </w:rPr>
        <w:t>)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式中：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y</w:t>
      </w:r>
      <w:r>
        <w:rPr>
          <w:sz w:val="24"/>
        </w:rPr>
        <w:t xml:space="preserve"> —拉曼频移测量值，单位为每厘米</w:t>
      </w:r>
      <w:r>
        <w:rPr>
          <w:rFonts w:hint="eastAsia"/>
          <w:sz w:val="24"/>
        </w:rPr>
        <w:t>(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)</w:t>
      </w:r>
      <w:r>
        <w:rPr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x</w:t>
      </w:r>
      <w:r>
        <w:rPr>
          <w:sz w:val="24"/>
        </w:rPr>
        <w:t xml:space="preserve"> —拉曼频移标准值，单位为每厘米</w:t>
      </w:r>
      <w:r>
        <w:rPr>
          <w:rFonts w:hint="eastAsia"/>
          <w:sz w:val="24"/>
        </w:rPr>
        <w:t>(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)</w:t>
      </w:r>
      <w:r>
        <w:rPr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a</w:t>
      </w:r>
      <w:r>
        <w:rPr>
          <w:sz w:val="24"/>
        </w:rPr>
        <w:t xml:space="preserve"> —拟合直线的截距，单位为每厘米</w:t>
      </w:r>
      <w:r>
        <w:rPr>
          <w:rFonts w:hint="eastAsia"/>
          <w:sz w:val="24"/>
        </w:rPr>
        <w:t>(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)</w:t>
      </w:r>
      <w:r>
        <w:rPr>
          <w:sz w:val="24"/>
        </w:rPr>
        <w:t>；</w:t>
      </w:r>
    </w:p>
    <w:p>
      <w:pPr>
        <w:spacing w:line="360" w:lineRule="auto"/>
        <w:ind w:firstLine="480"/>
        <w:rPr>
          <w:sz w:val="24"/>
        </w:rPr>
      </w:pPr>
      <w:r>
        <w:rPr>
          <w:i/>
          <w:sz w:val="24"/>
        </w:rPr>
        <w:t>b</w:t>
      </w:r>
      <w:r>
        <w:rPr>
          <w:sz w:val="24"/>
        </w:rPr>
        <w:t xml:space="preserve"> —拟合直线的斜率，无量纲。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将石墨烯粉体材料拉曼频移代入</w:t>
      </w:r>
      <w:r>
        <w:rPr>
          <w:sz w:val="24"/>
        </w:rPr>
        <w:t>式</w:t>
      </w:r>
      <w:r>
        <w:rPr>
          <w:rFonts w:hint="eastAsia"/>
          <w:sz w:val="24"/>
        </w:rPr>
        <w:t>(</w:t>
      </w:r>
      <w:r>
        <w:rPr>
          <w:sz w:val="24"/>
        </w:rPr>
        <w:t>1</w:t>
      </w:r>
      <w:r>
        <w:rPr>
          <w:rFonts w:hint="eastAsia"/>
          <w:sz w:val="24"/>
        </w:rPr>
        <w:t>)，从而得到石墨烯粉体材料拉曼频移的校准值。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.2 不确定度评定</w:t>
      </w: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2.2.1 校准引入的不确定度分量</w:t>
      </w:r>
    </w:p>
    <w:p>
      <w:pPr>
        <w:autoSpaceDE w:val="0"/>
        <w:autoSpaceDN w:val="0"/>
        <w:adjustRightInd w:val="0"/>
        <w:spacing w:line="360" w:lineRule="auto"/>
        <w:ind w:firstLine="480"/>
        <w:rPr>
          <w:sz w:val="24"/>
        </w:rPr>
      </w:pPr>
      <w:r>
        <w:rPr>
          <w:sz w:val="24"/>
        </w:rPr>
        <w:t>所选标准物质频移范围涵盖了待测样品石墨烯的频移范围，因此选用GBW13652萘拉曼频移标准物质在(100-3200) cm</w:t>
      </w:r>
      <w:r>
        <w:rPr>
          <w:sz w:val="24"/>
          <w:vertAlign w:val="superscript"/>
        </w:rPr>
        <w:t>-1</w:t>
      </w:r>
      <w:r>
        <w:rPr>
          <w:sz w:val="24"/>
        </w:rPr>
        <w:t>范围内进行拉曼频移线性校准。</w:t>
      </w:r>
    </w:p>
    <w:p>
      <w:pPr>
        <w:spacing w:line="360" w:lineRule="auto"/>
        <w:rPr>
          <w:sz w:val="24"/>
        </w:rPr>
      </w:pPr>
    </w:p>
    <w:p>
      <w:pPr>
        <w:keepNext/>
        <w:adjustRightInd w:val="0"/>
        <w:snapToGrid w:val="0"/>
        <w:ind w:firstLine="360" w:firstLineChars="200"/>
        <w:jc w:val="center"/>
      </w:pPr>
      <w:r>
        <w:rPr>
          <w:rFonts w:hint="eastAsia"/>
          <w:sz w:val="18"/>
          <w:szCs w:val="18"/>
        </w:rPr>
        <w:drawing>
          <wp:inline distT="0" distB="0" distL="0" distR="0">
            <wp:extent cx="2668905" cy="2052320"/>
            <wp:effectExtent l="19050" t="0" r="0" b="0"/>
            <wp:docPr id="5" name="图片 8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7" descr="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8905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20" w:lineRule="exact"/>
        <w:ind w:firstLine="360" w:firstLineChars="200"/>
        <w:jc w:val="center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 xml:space="preserve">图 </w:t>
      </w:r>
      <w:r>
        <w:rPr>
          <w:rFonts w:ascii="黑体" w:hAnsi="黑体" w:eastAsia="黑体"/>
          <w:sz w:val="18"/>
          <w:szCs w:val="18"/>
        </w:rPr>
        <w:fldChar w:fldCharType="begin"/>
      </w:r>
      <w:r>
        <w:rPr>
          <w:rFonts w:ascii="黑体" w:hAnsi="黑体" w:eastAsia="黑体"/>
          <w:sz w:val="18"/>
          <w:szCs w:val="18"/>
        </w:rPr>
        <w:instrText xml:space="preserve"> </w:instrText>
      </w:r>
      <w:r>
        <w:rPr>
          <w:rFonts w:hint="eastAsia" w:ascii="黑体" w:hAnsi="黑体" w:eastAsia="黑体"/>
          <w:sz w:val="18"/>
          <w:szCs w:val="18"/>
        </w:rPr>
        <w:instrText xml:space="preserve">SEQ 图 \* ARABIC</w:instrText>
      </w:r>
      <w:r>
        <w:rPr>
          <w:rFonts w:ascii="黑体" w:hAnsi="黑体" w:eastAsia="黑体"/>
          <w:sz w:val="18"/>
          <w:szCs w:val="18"/>
        </w:rPr>
        <w:instrText xml:space="preserve"> </w:instrText>
      </w:r>
      <w:r>
        <w:rPr>
          <w:rFonts w:ascii="黑体" w:hAnsi="黑体" w:eastAsia="黑体"/>
          <w:sz w:val="18"/>
          <w:szCs w:val="18"/>
        </w:rPr>
        <w:fldChar w:fldCharType="separate"/>
      </w:r>
      <w:r>
        <w:rPr>
          <w:rFonts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fldChar w:fldCharType="end"/>
      </w:r>
      <w:r>
        <w:rPr>
          <w:rFonts w:ascii="黑体" w:hAnsi="黑体" w:eastAsia="黑体"/>
          <w:sz w:val="18"/>
          <w:szCs w:val="18"/>
        </w:rPr>
        <w:t xml:space="preserve"> 标准物质拉曼频移测量结果</w:t>
      </w:r>
    </w:p>
    <w:p>
      <w:pPr>
        <w:spacing w:line="360" w:lineRule="auto"/>
        <w:ind w:firstLine="480"/>
        <w:rPr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图1的线性拟合结果为：</w:t>
      </w:r>
    </w:p>
    <w:p>
      <w:pPr>
        <w:adjustRightInd w:val="0"/>
        <w:snapToGrid w:val="0"/>
        <w:spacing w:line="360" w:lineRule="auto"/>
        <w:ind w:firstLine="480" w:firstLineChars="200"/>
        <w:rPr>
          <w:color w:val="000000"/>
          <w:kern w:val="0"/>
          <w:sz w:val="24"/>
        </w:rPr>
      </w:pPr>
      <w:r>
        <w:rPr>
          <w:rFonts w:hint="eastAsia"/>
          <w:i/>
          <w:color w:val="000000"/>
          <w:kern w:val="0"/>
          <w:sz w:val="24"/>
        </w:rPr>
        <w:t>y</w:t>
      </w:r>
      <w:r>
        <w:rPr>
          <w:rFonts w:hint="eastAsia"/>
          <w:color w:val="000000"/>
          <w:kern w:val="0"/>
          <w:sz w:val="24"/>
        </w:rPr>
        <w:t>=1.0007</w:t>
      </w:r>
      <w:r>
        <w:rPr>
          <w:rFonts w:hint="eastAsia"/>
          <w:i/>
          <w:color w:val="000000"/>
          <w:kern w:val="0"/>
          <w:sz w:val="24"/>
        </w:rPr>
        <w:t>x</w:t>
      </w:r>
      <w:r>
        <w:rPr>
          <w:rFonts w:hint="eastAsia"/>
          <w:color w:val="000000"/>
          <w:kern w:val="0"/>
          <w:sz w:val="24"/>
        </w:rPr>
        <w:t>+0.8853；</w:t>
      </w:r>
    </w:p>
    <w:p>
      <w:pPr>
        <w:adjustRightInd w:val="0"/>
        <w:snapToGrid w:val="0"/>
        <w:spacing w:line="360" w:lineRule="auto"/>
        <w:ind w:firstLine="480" w:firstLineChars="20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线性相关系数</w:t>
      </w:r>
      <w:r>
        <w:rPr>
          <w:rFonts w:hint="eastAsia"/>
          <w:i/>
          <w:color w:val="000000"/>
          <w:kern w:val="0"/>
          <w:sz w:val="24"/>
        </w:rPr>
        <w:t>r</w:t>
      </w:r>
      <w:r>
        <w:rPr>
          <w:rFonts w:hint="eastAsia"/>
          <w:color w:val="000000"/>
          <w:kern w:val="0"/>
          <w:sz w:val="24"/>
        </w:rPr>
        <w:t>=1.000。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仪器校准引入的不确定度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plot</w:t>
      </w:r>
      <w:r>
        <w:rPr>
          <w:rFonts w:ascii="宋体" w:hAnsi="宋体"/>
          <w:sz w:val="24"/>
        </w:rPr>
        <w:t>见式</w:t>
      </w:r>
      <w:r>
        <w:rPr>
          <w:sz w:val="24"/>
        </w:rPr>
        <w:t>(2)</w:t>
      </w:r>
      <w:r>
        <w:rPr>
          <w:rFonts w:hAnsi="宋体"/>
          <w:sz w:val="24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position w:val="-32"/>
          <w:sz w:val="24"/>
        </w:rPr>
        <w:object>
          <v:shape id="_x0000_i1025" o:spt="75" type="#_x0000_t75" style="height:34.5pt;width:160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         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(2)</w:t>
      </w:r>
      <w:r>
        <w:rPr>
          <w:sz w:val="24"/>
        </w:rPr>
        <w:t xml:space="preserve">           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其中：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position w:val="-26"/>
          <w:sz w:val="24"/>
        </w:rPr>
        <w:object>
          <v:shape id="_x0000_i1026" o:spt="75" type="#_x0000_t75" style="height:35.25pt;width:1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position w:val="-16"/>
          <w:sz w:val="24"/>
        </w:rPr>
        <w:object>
          <v:shape id="_x0000_i1027" o:spt="75" type="#_x0000_t75" style="height:23.25pt;width:204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 w:ascii="宋体" w:hAnsi="宋体"/>
          <w:sz w:val="24"/>
        </w:rPr>
        <w:t>式中：</w:t>
      </w:r>
    </w:p>
    <w:p>
      <w:pPr>
        <w:autoSpaceDE w:val="0"/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p</w:t>
      </w:r>
      <w:r>
        <w:rPr>
          <w:sz w:val="24"/>
        </w:rPr>
        <w:softHyphen/>
      </w:r>
      <w:r>
        <w:rPr>
          <w:sz w:val="24"/>
        </w:rPr>
        <w:softHyphen/>
      </w:r>
      <w:r>
        <w:rPr>
          <w:sz w:val="24"/>
        </w:rPr>
        <w:t>—</w:t>
      </w:r>
      <w:r>
        <w:rPr>
          <w:rFonts w:ascii="宋体" w:hAnsi="宋体"/>
          <w:sz w:val="24"/>
        </w:rPr>
        <w:t>待测样品拉曼频移的测量次数，单位为个；</w:t>
      </w:r>
    </w:p>
    <w:p>
      <w:pPr>
        <w:autoSpaceDE w:val="0"/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n</w:t>
      </w:r>
      <w:r>
        <w:rPr>
          <w:sz w:val="24"/>
        </w:rPr>
        <w:t>—</w:t>
      </w:r>
      <w:r>
        <w:rPr>
          <w:rFonts w:ascii="宋体" w:hAnsi="宋体"/>
          <w:sz w:val="24"/>
        </w:rPr>
        <w:t>标准物质拉曼频移测量的次数，单位为个；</w:t>
      </w:r>
      <w:r>
        <w:rPr>
          <w:i/>
          <w:sz w:val="24"/>
        </w:rPr>
        <w:t xml:space="preserve"> </w:t>
      </w:r>
    </w:p>
    <w:p>
      <w:pPr>
        <w:autoSpaceDE w:val="0"/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position w:val="-10"/>
          <w:sz w:val="24"/>
        </w:rPr>
        <w:object>
          <v:shape id="_x0000_i1028" o:spt="75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sz w:val="24"/>
        </w:rPr>
        <w:t>—</w:t>
      </w:r>
      <w:r>
        <w:rPr>
          <w:rFonts w:ascii="宋体" w:hAnsi="宋体"/>
          <w:sz w:val="24"/>
        </w:rPr>
        <w:t>待测样品拉曼频移的测量平均值，单位为每厘米（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ascii="宋体" w:hAnsi="宋体"/>
          <w:sz w:val="24"/>
        </w:rPr>
        <w:t>）；</w:t>
      </w:r>
    </w:p>
    <w:p>
      <w:pPr>
        <w:autoSpaceDE w:val="0"/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position w:val="-10"/>
          <w:sz w:val="24"/>
        </w:rPr>
        <w:object>
          <v:shape id="_x0000_i1029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sz w:val="24"/>
        </w:rPr>
        <w:t>—</w:t>
      </w:r>
      <w:r>
        <w:rPr>
          <w:rFonts w:ascii="宋体" w:hAnsi="宋体"/>
          <w:sz w:val="24"/>
        </w:rPr>
        <w:t>标准物质所用频移测量</w:t>
      </w:r>
      <w:r>
        <w:rPr>
          <w:i/>
          <w:sz w:val="24"/>
        </w:rPr>
        <w:t>n</w:t>
      </w:r>
      <w:r>
        <w:rPr>
          <w:rFonts w:ascii="宋体" w:hAnsi="宋体"/>
          <w:sz w:val="24"/>
        </w:rPr>
        <w:t>次的平均值，单位为每厘米（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ascii="宋体" w:hAnsi="宋体"/>
          <w:sz w:val="24"/>
        </w:rPr>
        <w:t>）；</w:t>
      </w:r>
    </w:p>
    <w:p>
      <w:pPr>
        <w:autoSpaceDE w:val="0"/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Δν</w:t>
      </w:r>
      <w:r>
        <w:rPr>
          <w:rFonts w:hint="eastAsia"/>
          <w:sz w:val="24"/>
          <w:vertAlign w:val="subscript"/>
        </w:rPr>
        <w:t>m,j</w:t>
      </w:r>
      <w:r>
        <w:rPr>
          <w:sz w:val="24"/>
        </w:rPr>
        <w:t>—</w:t>
      </w:r>
      <w:r>
        <w:rPr>
          <w:rFonts w:ascii="宋体" w:hAnsi="宋体"/>
          <w:sz w:val="24"/>
        </w:rPr>
        <w:t>标准样品第</w:t>
      </w:r>
      <w:r>
        <w:rPr>
          <w:i/>
          <w:sz w:val="24"/>
        </w:rPr>
        <w:t>j</w:t>
      </w:r>
      <w:r>
        <w:rPr>
          <w:rFonts w:ascii="宋体" w:hAnsi="宋体"/>
          <w:sz w:val="24"/>
        </w:rPr>
        <w:t>次测量拉曼频移值，单位为每厘米（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ascii="宋体" w:hAnsi="宋体"/>
          <w:sz w:val="24"/>
        </w:rPr>
        <w:t>）；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sz w:val="24"/>
        </w:rPr>
        <w:t>Δν</w:t>
      </w:r>
      <w:r>
        <w:rPr>
          <w:rFonts w:hint="eastAsia"/>
          <w:sz w:val="24"/>
          <w:vertAlign w:val="subscript"/>
        </w:rPr>
        <w:t>c,j</w:t>
      </w:r>
      <w:r>
        <w:rPr>
          <w:sz w:val="24"/>
        </w:rPr>
        <w:t>—</w:t>
      </w:r>
      <w:r>
        <w:rPr>
          <w:rFonts w:ascii="宋体" w:hAnsi="宋体"/>
          <w:sz w:val="24"/>
        </w:rPr>
        <w:t>标准物质第</w:t>
      </w:r>
      <w:r>
        <w:rPr>
          <w:i/>
          <w:sz w:val="24"/>
        </w:rPr>
        <w:t>j</w:t>
      </w:r>
      <w:r>
        <w:rPr>
          <w:rFonts w:ascii="宋体" w:hAnsi="宋体"/>
          <w:sz w:val="24"/>
        </w:rPr>
        <w:t>次测量的拉曼频移，单位为每厘米（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计算得出，</w:t>
      </w:r>
      <w:r>
        <w:rPr>
          <w:i/>
          <w:sz w:val="24"/>
        </w:rPr>
        <w:t>S</w:t>
      </w:r>
      <w:r>
        <w:rPr>
          <w:sz w:val="24"/>
        </w:rPr>
        <w:t>=</w:t>
      </w:r>
      <w:r>
        <w:rPr>
          <w:rFonts w:hint="eastAsia"/>
          <w:sz w:val="24"/>
        </w:rPr>
        <w:t>0.6586</w:t>
      </w:r>
      <w:r>
        <w:rPr>
          <w:sz w:val="24"/>
        </w:rPr>
        <w:t xml:space="preserve"> 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，</w:t>
      </w:r>
      <w:r>
        <w:rPr>
          <w:i/>
          <w:sz w:val="24"/>
        </w:rPr>
        <w:t>S</w:t>
      </w:r>
      <w:r>
        <w:rPr>
          <w:sz w:val="24"/>
          <w:vertAlign w:val="subscript"/>
        </w:rPr>
        <w:t>xx</w:t>
      </w:r>
      <w:r>
        <w:rPr>
          <w:sz w:val="24"/>
        </w:rPr>
        <w:t>=</w:t>
      </w:r>
      <w:r>
        <w:rPr>
          <w:rFonts w:hint="eastAsia"/>
          <w:sz w:val="24"/>
        </w:rPr>
        <w:t>4.165*10</w:t>
      </w:r>
      <w:r>
        <w:rPr>
          <w:rFonts w:hint="eastAsia"/>
          <w:sz w:val="24"/>
          <w:vertAlign w:val="superscript"/>
        </w:rPr>
        <w:t>7</w:t>
      </w:r>
      <w:r>
        <w:rPr>
          <w:sz w:val="24"/>
        </w:rPr>
        <w:t xml:space="preserve"> cm</w:t>
      </w:r>
      <w:r>
        <w:rPr>
          <w:sz w:val="24"/>
          <w:vertAlign w:val="superscript"/>
        </w:rPr>
        <w:t>-1</w:t>
      </w:r>
      <w:r>
        <w:rPr>
          <w:sz w:val="24"/>
        </w:rPr>
        <w:t>，</w:t>
      </w:r>
      <w:r>
        <w:rPr>
          <w:i/>
          <w:sz w:val="24"/>
        </w:rPr>
        <w:t>b</w:t>
      </w:r>
      <w:r>
        <w:rPr>
          <w:sz w:val="24"/>
        </w:rPr>
        <w:t>=1.0007。石墨烯样品共测试</w:t>
      </w:r>
      <w:r>
        <w:rPr>
          <w:rFonts w:hint="eastAsia"/>
          <w:sz w:val="24"/>
        </w:rPr>
        <w:t>9次</w:t>
      </w:r>
      <w:r>
        <w:rPr>
          <w:sz w:val="24"/>
        </w:rPr>
        <w:t>，故</w:t>
      </w:r>
      <w:r>
        <w:rPr>
          <w:i/>
          <w:sz w:val="24"/>
        </w:rPr>
        <w:t>p</w:t>
      </w:r>
      <w:r>
        <w:rPr>
          <w:sz w:val="24"/>
        </w:rPr>
        <w:t>=9。</w:t>
      </w:r>
      <w:r>
        <w:rPr>
          <w:rFonts w:ascii="宋体" w:hAnsi="宋体"/>
          <w:sz w:val="24"/>
        </w:rPr>
        <w:t>对</w:t>
      </w:r>
      <w:r>
        <w:rPr>
          <w:sz w:val="24"/>
        </w:rPr>
        <w:t>GBW</w:t>
      </w:r>
      <w:r>
        <w:rPr>
          <w:rFonts w:hint="eastAsia"/>
          <w:sz w:val="24"/>
        </w:rPr>
        <w:t>13652</w:t>
      </w:r>
      <w:r>
        <w:rPr>
          <w:rFonts w:ascii="宋体" w:hAnsi="宋体"/>
          <w:sz w:val="24"/>
        </w:rPr>
        <w:t>标准物质</w:t>
      </w:r>
      <w:r>
        <w:rPr>
          <w:sz w:val="24"/>
        </w:rPr>
        <w:t>8</w:t>
      </w:r>
      <w:r>
        <w:rPr>
          <w:rFonts w:ascii="宋体" w:hAnsi="宋体"/>
          <w:sz w:val="24"/>
        </w:rPr>
        <w:t>条谱线每条分别测量</w:t>
      </w:r>
      <w:r>
        <w:rPr>
          <w:sz w:val="24"/>
        </w:rPr>
        <w:t>6</w:t>
      </w:r>
      <w:r>
        <w:rPr>
          <w:rFonts w:ascii="宋体" w:hAnsi="宋体"/>
          <w:sz w:val="24"/>
        </w:rPr>
        <w:t>次，故</w:t>
      </w:r>
      <w:r>
        <w:rPr>
          <w:i/>
          <w:sz w:val="24"/>
        </w:rPr>
        <w:t>n</w:t>
      </w:r>
      <w:r>
        <w:rPr>
          <w:sz w:val="24"/>
        </w:rPr>
        <w:t>=48</w:t>
      </w:r>
      <w:r>
        <w:rPr>
          <w:rFonts w:hint="eastAsia" w:ascii="Calibri" w:hAnsi="Calibri" w:cs="Calibri"/>
          <w:sz w:val="24"/>
        </w:rPr>
        <w:t>。</w:t>
      </w:r>
      <w:r>
        <w:rPr>
          <w:sz w:val="24"/>
        </w:rPr>
        <w:t>依据公式进行计算，</w:t>
      </w:r>
      <w:r>
        <w:rPr>
          <w:i/>
          <w:iCs/>
          <w:sz w:val="24"/>
        </w:rPr>
        <w:t>u</w:t>
      </w:r>
      <w:r>
        <w:rPr>
          <w:sz w:val="24"/>
          <w:vertAlign w:val="subscript"/>
        </w:rPr>
        <w:t>plot</w:t>
      </w:r>
      <w:r>
        <w:rPr>
          <w:sz w:val="24"/>
        </w:rPr>
        <w:t>=</w:t>
      </w:r>
      <w:r>
        <w:rPr>
          <w:rFonts w:hint="eastAsia"/>
          <w:sz w:val="24"/>
        </w:rPr>
        <w:t xml:space="preserve">0.27 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。</w:t>
      </w:r>
    </w:p>
    <w:p>
      <w:pPr>
        <w:pStyle w:val="17"/>
        <w:adjustRightInd w:val="0"/>
        <w:snapToGrid w:val="0"/>
        <w:spacing w:before="0" w:beforeAutospacing="0" w:after="0" w:afterAutospacing="0" w:line="360" w:lineRule="auto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2.2.2</w:t>
      </w:r>
      <w:r>
        <w:rPr>
          <w:rFonts w:ascii="Times New Roman" w:hAnsi="Times New Roman" w:cs="Times New Roman"/>
          <w:kern w:val="2"/>
        </w:rPr>
        <w:t>测量重复性引入的不确定度</w:t>
      </w:r>
    </w:p>
    <w:p>
      <w:pPr>
        <w:pStyle w:val="17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</w:rPr>
        <w:t>石墨烯D峰</w:t>
      </w:r>
      <w:r>
        <w:rPr>
          <w:rFonts w:hint="eastAsia" w:ascii="Times New Roman" w:hAnsi="Times New Roman" w:cs="Times New Roman"/>
        </w:rPr>
        <w:t>9次测量结果的标准偏差为</w:t>
      </w:r>
      <w:r>
        <w:rPr>
          <w:rFonts w:ascii="Times New Roman" w:hAnsi="Times New Roman" w:cs="Times New Roman"/>
          <w:i/>
          <w:iCs/>
        </w:rPr>
        <w:t>u</w:t>
      </w:r>
      <w:r>
        <w:rPr>
          <w:rFonts w:ascii="Times New Roman" w:hAnsi="Times New Roman" w:cs="Times New Roman"/>
          <w:vertAlign w:val="subscript"/>
        </w:rPr>
        <w:t>r</w:t>
      </w:r>
      <w:r>
        <w:t>=</w:t>
      </w:r>
      <w:r>
        <w:rPr>
          <w:rFonts w:hint="eastAsia" w:ascii="Times New Roman" w:hAnsi="Times New Roman" w:cs="Times New Roman"/>
          <w:kern w:val="2"/>
        </w:rPr>
        <w:t xml:space="preserve">2.62 </w:t>
      </w:r>
      <w:r>
        <w:rPr>
          <w:rFonts w:ascii="Times New Roman" w:hAnsi="Times New Roman" w:cs="Times New Roman"/>
          <w:kern w:val="2"/>
        </w:rPr>
        <w:t>cm</w:t>
      </w:r>
      <w:r>
        <w:rPr>
          <w:rFonts w:ascii="Times New Roman" w:hAnsi="Times New Roman" w:cs="Times New Roman"/>
          <w:kern w:val="2"/>
          <w:vertAlign w:val="superscript"/>
        </w:rPr>
        <w:t>-1</w:t>
      </w:r>
      <w:r>
        <w:rPr>
          <w:rFonts w:hint="eastAsia" w:ascii="Times New Roman" w:hAnsi="Times New Roman" w:cs="Times New Roman"/>
          <w:kern w:val="2"/>
        </w:rPr>
        <w:t>，测量结果见表1。</w:t>
      </w:r>
    </w:p>
    <w:p>
      <w:pPr>
        <w:pStyle w:val="6"/>
        <w:keepNext/>
        <w:jc w:val="center"/>
      </w:pPr>
      <w:r>
        <w:rPr>
          <w:rFonts w:hint="eastAsia" w:ascii="黑体" w:hAnsi="黑体"/>
          <w:sz w:val="18"/>
          <w:szCs w:val="18"/>
        </w:rPr>
        <w:t>表1 石墨烯D峰</w:t>
      </w:r>
      <w:r>
        <w:rPr>
          <w:rFonts w:hint="eastAsia" w:ascii="Times New Roman" w:hAnsi="Times New Roman"/>
          <w:sz w:val="18"/>
          <w:szCs w:val="18"/>
        </w:rPr>
        <w:t>的测试结果（cm</w:t>
      </w:r>
      <w:r>
        <w:rPr>
          <w:rFonts w:hint="eastAsia" w:ascii="Times New Roman" w:hAnsi="Times New Roman"/>
          <w:sz w:val="18"/>
          <w:szCs w:val="18"/>
          <w:vertAlign w:val="superscript"/>
        </w:rPr>
        <w:t>-1</w:t>
      </w:r>
      <w:r>
        <w:rPr>
          <w:rFonts w:hint="eastAsia" w:ascii="Times New Roman" w:hAnsi="Times New Roman"/>
          <w:sz w:val="18"/>
          <w:szCs w:val="18"/>
        </w:rPr>
        <w:t>）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836"/>
        <w:gridCol w:w="837"/>
        <w:gridCol w:w="836"/>
        <w:gridCol w:w="836"/>
        <w:gridCol w:w="836"/>
        <w:gridCol w:w="836"/>
        <w:gridCol w:w="836"/>
        <w:gridCol w:w="836"/>
        <w:gridCol w:w="833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平均值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1343.87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1346.32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1346.2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1346.38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1345.06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1346.5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1345.7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1345.3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1345.2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333333"/>
                <w:sz w:val="18"/>
              </w:rPr>
            </w:pPr>
            <w:r>
              <w:rPr>
                <w:sz w:val="18"/>
                <w:szCs w:val="18"/>
              </w:rPr>
              <w:t>1345.64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2.62</w:t>
            </w:r>
          </w:p>
        </w:tc>
      </w:tr>
    </w:tbl>
    <w:p>
      <w:pPr>
        <w:pStyle w:val="17"/>
        <w:adjustRightInd w:val="0"/>
        <w:snapToGrid w:val="0"/>
        <w:spacing w:before="0" w:beforeAutospacing="0" w:after="0" w:afterAutospacing="0" w:line="360" w:lineRule="auto"/>
        <w:rPr>
          <w:rFonts w:ascii="Times New Roman" w:hAnsi="Times New Roman" w:cs="Times New Roman"/>
          <w:i/>
        </w:rPr>
      </w:pPr>
    </w:p>
    <w:p>
      <w:pPr>
        <w:pStyle w:val="17"/>
        <w:adjustRightInd w:val="0"/>
        <w:snapToGrid w:val="0"/>
        <w:spacing w:before="0" w:beforeAutospacing="0" w:after="0" w:afterAutospacing="0" w:line="360" w:lineRule="auto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</w:t>
      </w:r>
      <w:r>
        <w:rPr>
          <w:rFonts w:hint="eastAsia" w:ascii="Times New Roman" w:hAnsi="Times New Roman" w:cs="Times New Roman"/>
          <w:color w:val="000000" w:themeColor="text1"/>
        </w:rPr>
        <w:t>3标准物质</w:t>
      </w:r>
      <w:r>
        <w:rPr>
          <w:rFonts w:ascii="Times New Roman" w:hAnsi="Times New Roman" w:cs="Times New Roman"/>
          <w:kern w:val="2"/>
        </w:rPr>
        <w:t>引入的不确定度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标准物质引入的不确定度</w:t>
      </w:r>
      <w:r>
        <w:rPr>
          <w:i/>
          <w:sz w:val="24"/>
        </w:rPr>
        <w:t>u</w:t>
      </w:r>
      <w:r>
        <w:rPr>
          <w:sz w:val="24"/>
          <w:vertAlign w:val="subscript"/>
        </w:rPr>
        <w:t>RM</w:t>
      </w:r>
      <w:r>
        <w:rPr>
          <w:rFonts w:ascii="宋体" w:hAnsi="宋体"/>
          <w:sz w:val="24"/>
        </w:rPr>
        <w:t>见式</w:t>
      </w:r>
      <w:r>
        <w:rPr>
          <w:sz w:val="24"/>
        </w:rPr>
        <w:t>(3)</w:t>
      </w:r>
      <w:r>
        <w:rPr>
          <w:rFonts w:hint="eastAsia" w:ascii="宋体" w:hAnsi="宋体"/>
          <w:sz w:val="24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position w:val="-12"/>
          <w:sz w:val="24"/>
        </w:rPr>
        <w:object>
          <v:shape id="_x0000_i1030" o:spt="75" type="#_x0000_t75" style="height:16.5pt;width:67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sz w:val="24"/>
        </w:rPr>
        <w:t xml:space="preserve"> (3)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ascii="宋体" w:hAnsi="宋体"/>
          <w:sz w:val="24"/>
        </w:rPr>
        <w:t>式中：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u</w:t>
      </w:r>
      <w:r>
        <w:rPr>
          <w:sz w:val="24"/>
          <w:vertAlign w:val="subscript"/>
        </w:rPr>
        <w:t>ΔνRM</w:t>
      </w:r>
      <w:r>
        <w:rPr>
          <w:sz w:val="24"/>
        </w:rPr>
        <w:t>—</w:t>
      </w:r>
      <w:r>
        <w:rPr>
          <w:rFonts w:ascii="宋体" w:hAnsi="宋体"/>
          <w:sz w:val="24"/>
        </w:rPr>
        <w:t>标准物质拉曼频移的标准不确定度；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n</w:t>
      </w:r>
      <w:r>
        <w:rPr>
          <w:rFonts w:hint="eastAsia"/>
          <w:sz w:val="24"/>
        </w:rPr>
        <w:t xml:space="preserve"> </w:t>
      </w:r>
      <w:r>
        <w:rPr>
          <w:sz w:val="24"/>
        </w:rPr>
        <w:t>—</w:t>
      </w:r>
      <w:r>
        <w:rPr>
          <w:rFonts w:ascii="宋体" w:hAnsi="宋体"/>
          <w:sz w:val="24"/>
        </w:rPr>
        <w:t>校准中拉曼频移测量的次数。</w:t>
      </w:r>
    </w:p>
    <w:p>
      <w:pPr>
        <w:spacing w:line="360" w:lineRule="auto"/>
        <w:ind w:firstLine="480" w:firstLineChars="200"/>
        <w:rPr>
          <w:rFonts w:ascii="Calibri" w:hAnsi="Calibri" w:cs="Calibri"/>
          <w:sz w:val="24"/>
        </w:rPr>
      </w:pPr>
      <w:r>
        <w:rPr>
          <w:rFonts w:ascii="宋体" w:hAnsi="宋体"/>
          <w:sz w:val="24"/>
        </w:rPr>
        <w:t>所测的标准物质中，与石墨烯</w:t>
      </w:r>
      <w:r>
        <w:rPr>
          <w:sz w:val="24"/>
        </w:rPr>
        <w:t>D</w:t>
      </w:r>
      <w:r>
        <w:rPr>
          <w:rFonts w:ascii="宋体" w:hAnsi="宋体"/>
          <w:sz w:val="24"/>
        </w:rPr>
        <w:t>峰</w:t>
      </w:r>
      <w:r>
        <w:rPr>
          <w:sz w:val="24"/>
        </w:rPr>
        <w:t>1345</w:t>
      </w:r>
      <w:r>
        <w:rPr>
          <w:rFonts w:hint="eastAsia"/>
          <w:sz w:val="24"/>
        </w:rPr>
        <w:t xml:space="preserve"> 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ascii="宋体" w:hAnsi="宋体"/>
          <w:sz w:val="24"/>
        </w:rPr>
        <w:t>最接近的是萘位于</w:t>
      </w:r>
      <w:r>
        <w:rPr>
          <w:sz w:val="24"/>
        </w:rPr>
        <w:t>1381.3</w:t>
      </w:r>
      <w:r>
        <w:rPr>
          <w:rFonts w:hint="eastAsia"/>
          <w:sz w:val="24"/>
        </w:rPr>
        <w:t xml:space="preserve"> 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ascii="宋体" w:hAnsi="宋体"/>
          <w:sz w:val="24"/>
        </w:rPr>
        <w:t>的拉曼频移的扩展不确定度</w:t>
      </w:r>
      <w:r>
        <w:rPr>
          <w:sz w:val="24"/>
        </w:rPr>
        <w:t>2.2</w:t>
      </w:r>
      <w:r>
        <w:rPr>
          <w:rFonts w:hint="eastAsia"/>
          <w:sz w:val="24"/>
        </w:rPr>
        <w:t xml:space="preserve"> 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(</w:t>
      </w:r>
      <w:r>
        <w:rPr>
          <w:i/>
          <w:sz w:val="24"/>
        </w:rPr>
        <w:t>k</w:t>
      </w:r>
      <w:r>
        <w:rPr>
          <w:sz w:val="24"/>
        </w:rPr>
        <w:t>=2</w:t>
      </w:r>
      <w:r>
        <w:rPr>
          <w:rFonts w:hint="eastAsia"/>
          <w:sz w:val="24"/>
        </w:rPr>
        <w:t>)</w:t>
      </w:r>
      <w:r>
        <w:rPr>
          <w:rFonts w:ascii="宋体" w:hAnsi="宋体"/>
          <w:sz w:val="24"/>
        </w:rPr>
        <w:t>作为</w:t>
      </w:r>
      <w:r>
        <w:rPr>
          <w:i/>
          <w:sz w:val="24"/>
        </w:rPr>
        <w:t>u</w:t>
      </w:r>
      <w:r>
        <w:rPr>
          <w:sz w:val="24"/>
          <w:vertAlign w:val="subscript"/>
        </w:rPr>
        <w:t>ΔνRM</w:t>
      </w:r>
      <w:r>
        <w:rPr>
          <w:rFonts w:ascii="宋体" w:hAnsi="宋体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u</w:t>
      </w:r>
      <w:r>
        <w:rPr>
          <w:sz w:val="24"/>
          <w:vertAlign w:val="subscript"/>
        </w:rPr>
        <w:t>RM</w:t>
      </w:r>
      <w:r>
        <w:rPr>
          <w:sz w:val="24"/>
        </w:rPr>
        <w:t>=2.2/2/48</w:t>
      </w:r>
      <w:r>
        <w:rPr>
          <w:rFonts w:hint="eastAsia"/>
          <w:sz w:val="24"/>
          <w:vertAlign w:val="superscript"/>
        </w:rPr>
        <w:t>1/2</w:t>
      </w:r>
      <w:r>
        <w:rPr>
          <w:sz w:val="24"/>
        </w:rPr>
        <w:t>=0.</w:t>
      </w:r>
      <w:r>
        <w:rPr>
          <w:rFonts w:hint="eastAsia"/>
          <w:sz w:val="24"/>
        </w:rPr>
        <w:t>16 cm</w:t>
      </w:r>
      <w:r>
        <w:rPr>
          <w:rFonts w:hint="eastAsia"/>
          <w:sz w:val="24"/>
          <w:vertAlign w:val="superscript"/>
        </w:rPr>
        <w:t>-1</w:t>
      </w:r>
      <w:r>
        <w:rPr>
          <w:rFonts w:hint="eastAsia"/>
          <w:sz w:val="24"/>
        </w:rPr>
        <w:t>。</w:t>
      </w:r>
    </w:p>
    <w:p>
      <w:pPr>
        <w:pStyle w:val="17"/>
        <w:adjustRightInd w:val="0"/>
        <w:snapToGrid w:val="0"/>
        <w:spacing w:before="0" w:beforeAutospacing="0" w:after="0" w:afterAutospacing="0" w:line="360" w:lineRule="auto"/>
        <w:rPr>
          <w:rFonts w:ascii="Times New Roman" w:hAnsi="Times New Roman" w:cs="Times New Roman"/>
          <w:i/>
        </w:rPr>
      </w:pPr>
    </w:p>
    <w:p>
      <w:pPr>
        <w:pStyle w:val="17"/>
        <w:adjustRightInd w:val="0"/>
        <w:snapToGrid w:val="0"/>
        <w:spacing w:before="0" w:beforeAutospacing="0" w:after="0" w:afterAutospacing="0" w:line="360" w:lineRule="auto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</w:t>
      </w:r>
      <w:r>
        <w:rPr>
          <w:rFonts w:hint="eastAsia" w:ascii="Times New Roman" w:hAnsi="Times New Roman" w:cs="Times New Roman"/>
          <w:color w:val="000000" w:themeColor="text1"/>
        </w:rPr>
        <w:t>4合成不确定度</w:t>
      </w:r>
    </w:p>
    <w:p>
      <w:pPr>
        <w:pStyle w:val="17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cs="Times New Roman"/>
        </w:rPr>
      </w:pPr>
      <w:r>
        <w:rPr>
          <w:rFonts w:hint="eastAsia" w:cs="Times New Roman"/>
        </w:rPr>
        <w:t>合成不确定度</w:t>
      </w:r>
      <w:r>
        <w:rPr>
          <w:rFonts w:hint="eastAsia" w:ascii="Times New Roman" w:hAnsi="Times New Roman" w:cs="Times New Roman"/>
          <w:i/>
          <w:iCs/>
        </w:rPr>
        <w:t>u</w:t>
      </w:r>
      <w:r>
        <w:rPr>
          <w:rFonts w:hint="eastAsia" w:ascii="Times New Roman" w:hAnsi="Times New Roman" w:cs="Times New Roman"/>
          <w:i/>
          <w:iCs/>
          <w:vertAlign w:val="subscript"/>
        </w:rPr>
        <w:t>c</w:t>
      </w:r>
      <w:r>
        <w:rPr>
          <w:rFonts w:hint="eastAsia" w:cs="Times New Roman"/>
        </w:rPr>
        <w:t>包括校准引入的不确定度和测量引入的不确定度等因素，由公式</w:t>
      </w:r>
      <w:r>
        <w:rPr>
          <w:rFonts w:hint="eastAsia" w:ascii="Times New Roman" w:hAnsi="Times New Roman" w:cs="Times New Roman"/>
        </w:rPr>
        <w:t>(4)</w:t>
      </w:r>
      <w:r>
        <w:rPr>
          <w:rFonts w:hint="eastAsia" w:cs="Times New Roman"/>
        </w:rPr>
        <w:t>计算得到：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kern w:val="0"/>
          <w:position w:val="-16"/>
          <w:sz w:val="24"/>
        </w:rPr>
        <w:object>
          <v:shape id="_x0000_i1031" o:spt="75" type="#_x0000_t75" style="height:24pt;width:10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 xml:space="preserve">                                   </w:t>
      </w:r>
      <w:r>
        <w:rPr>
          <w:rFonts w:hint="eastAsia"/>
          <w:sz w:val="24"/>
        </w:rPr>
        <w:t>(4)</w:t>
      </w:r>
    </w:p>
    <w:p>
      <w:pPr>
        <w:spacing w:line="360" w:lineRule="auto"/>
        <w:ind w:firstLine="480" w:firstLineChars="200"/>
        <w:rPr>
          <w:color w:val="000000" w:themeColor="text1"/>
          <w:sz w:val="24"/>
        </w:rPr>
      </w:pPr>
      <w:r>
        <w:rPr>
          <w:rFonts w:hint="eastAsia"/>
          <w:sz w:val="24"/>
        </w:rPr>
        <w:t>合成不确定度按照公式4计算为2.64 cm</w:t>
      </w:r>
      <w:r>
        <w:rPr>
          <w:rFonts w:hint="eastAsia"/>
          <w:sz w:val="24"/>
          <w:vertAlign w:val="superscript"/>
        </w:rPr>
        <w:t>-1</w:t>
      </w:r>
      <w:r>
        <w:rPr>
          <w:rFonts w:hint="eastAsia"/>
          <w:sz w:val="24"/>
        </w:rPr>
        <w:t>。</w:t>
      </w:r>
    </w:p>
    <w:p>
      <w:pPr>
        <w:spacing w:line="360" w:lineRule="auto"/>
        <w:jc w:val="left"/>
        <w:rPr>
          <w:color w:val="000000" w:themeColor="text1"/>
          <w:sz w:val="24"/>
        </w:rPr>
      </w:pP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.</w:t>
      </w:r>
      <w:r>
        <w:rPr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.5 扩展不确定度</w:t>
      </w:r>
    </w:p>
    <w:p>
      <w:pPr>
        <w:pStyle w:val="17"/>
        <w:autoSpaceDE w:val="0"/>
        <w:adjustRightInd w:val="0"/>
        <w:snapToGrid w:val="0"/>
        <w:spacing w:before="0" w:beforeAutospacing="0" w:after="0" w:afterAutospacing="0" w:line="360" w:lineRule="auto"/>
        <w:ind w:firstLine="480" w:firstLineChars="200"/>
      </w:pPr>
      <w:r>
        <w:rPr>
          <w:rFonts w:hint="eastAsia" w:cs="Times New Roman"/>
        </w:rPr>
        <w:t>扩展不确定度</w:t>
      </w:r>
      <w:r>
        <w:rPr>
          <w:rFonts w:hint="eastAsia" w:ascii="Times New Roman" w:hAnsi="Times New Roman" w:cs="Times New Roman"/>
          <w:i/>
          <w:iCs/>
        </w:rPr>
        <w:t>U</w:t>
      </w:r>
      <w:r>
        <w:rPr>
          <w:rFonts w:hint="eastAsia" w:cs="Times New Roman"/>
        </w:rPr>
        <w:t>由公式</w:t>
      </w:r>
      <w:r>
        <w:rPr>
          <w:rFonts w:hint="eastAsia" w:ascii="Times New Roman" w:hAnsi="Times New Roman" w:cs="Times New Roman"/>
        </w:rPr>
        <w:t>(5)</w:t>
      </w:r>
      <w:r>
        <w:rPr>
          <w:rFonts w:hint="eastAsia" w:cs="Times New Roman"/>
        </w:rPr>
        <w:t>计算得到：</w:t>
      </w:r>
    </w:p>
    <w:p>
      <w:pPr>
        <w:pStyle w:val="17"/>
        <w:adjustRightInd w:val="0"/>
        <w:snapToGrid w:val="0"/>
        <w:spacing w:before="0" w:beforeAutospacing="0" w:after="0" w:afterAutospacing="0" w:line="360" w:lineRule="auto"/>
        <w:ind w:firstLine="1800" w:firstLineChars="7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i/>
          <w:iCs/>
        </w:rPr>
        <w:t>U</w:t>
      </w:r>
      <w:r>
        <w:rPr>
          <w:rFonts w:hint="eastAsia" w:ascii="Times New Roman" w:hAnsi="Times New Roman" w:cs="Times New Roman"/>
        </w:rPr>
        <w:t>=</w:t>
      </w:r>
      <w:r>
        <w:rPr>
          <w:rFonts w:hint="eastAsia" w:ascii="Times New Roman" w:hAnsi="Times New Roman" w:cs="Times New Roman"/>
          <w:i/>
          <w:iCs/>
        </w:rPr>
        <w:t>k</w:t>
      </w:r>
      <w:r>
        <w:rPr>
          <w:rFonts w:hint="eastAsia" w:ascii="Times New Roman" w:hAnsi="Times New Roman" w:cs="Times New Roman"/>
        </w:rPr>
        <w:t>*</w:t>
      </w:r>
      <w:r>
        <w:rPr>
          <w:rFonts w:hint="eastAsia" w:ascii="Times New Roman" w:hAnsi="Times New Roman" w:cs="Times New Roman"/>
          <w:i/>
          <w:iCs/>
        </w:rPr>
        <w:t>u</w:t>
      </w:r>
      <w:r>
        <w:rPr>
          <w:rFonts w:hint="eastAsia" w:ascii="Times New Roman" w:hAnsi="Times New Roman" w:cs="Times New Roman"/>
          <w:i/>
          <w:iCs/>
          <w:vertAlign w:val="subscript"/>
        </w:rPr>
        <w:t>c</w:t>
      </w:r>
      <w:r>
        <w:rPr>
          <w:rFonts w:hint="eastAsia" w:ascii="Times New Roman" w:hAnsi="Times New Roman" w:cs="Times New Roman"/>
          <w:i/>
          <w:iCs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 </w:t>
      </w:r>
      <w:r>
        <w:rPr>
          <w:rFonts w:hint="eastAsia" w:ascii="Times New Roman" w:hAnsi="Times New Roman" w:cs="Times New Roman"/>
        </w:rPr>
        <w:t xml:space="preserve"> (5)</w:t>
      </w:r>
    </w:p>
    <w:p>
      <w:pPr>
        <w:pStyle w:val="17"/>
        <w:autoSpaceDE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cs="Times New Roman"/>
        </w:rPr>
        <w:t>取包含因子</w:t>
      </w:r>
      <w:r>
        <w:rPr>
          <w:rFonts w:hint="eastAsia" w:ascii="Times New Roman" w:hAnsi="Times New Roman" w:cs="Times New Roman"/>
          <w:i/>
        </w:rPr>
        <w:t>k</w:t>
      </w:r>
      <w:r>
        <w:rPr>
          <w:rFonts w:hint="eastAsia" w:ascii="Times New Roman" w:hAnsi="Times New Roman" w:cs="Times New Roman"/>
        </w:rPr>
        <w:t>=2，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hint="eastAsia" w:ascii="Times New Roman" w:hAnsi="Times New Roman" w:cs="Times New Roman"/>
        </w:rPr>
        <w:t>=5.3 cm</w:t>
      </w:r>
      <w:r>
        <w:rPr>
          <w:rFonts w:hint="eastAsia" w:ascii="Times New Roman" w:hAnsi="Times New Roman" w:cs="Times New Roman"/>
          <w:vertAlign w:val="superscript"/>
        </w:rPr>
        <w:t>-1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3 X射线衍射的校准不确定度评定示例</w:t>
      </w: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.1 校准方法简述及测量模型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以标准物质的</w:t>
      </w:r>
      <w:r>
        <w:rPr>
          <w:rFonts w:hint="eastAsia"/>
          <w:sz w:val="24"/>
        </w:rPr>
        <w:t>所有晶面2</w:t>
      </w:r>
      <w:r>
        <w:rPr>
          <w:i/>
          <w:iCs/>
          <w:sz w:val="24"/>
        </w:rPr>
        <w:t>θ</w:t>
      </w:r>
      <w:r>
        <w:rPr>
          <w:rFonts w:hint="eastAsia"/>
          <w:sz w:val="24"/>
        </w:rPr>
        <w:t>角度</w:t>
      </w:r>
      <w:r>
        <w:rPr>
          <w:sz w:val="24"/>
        </w:rPr>
        <w:t>测量平均值为纵坐标，以标准物质的</w:t>
      </w:r>
      <w:r>
        <w:rPr>
          <w:rFonts w:hint="eastAsia"/>
          <w:sz w:val="24"/>
        </w:rPr>
        <w:t>所有晶面2</w:t>
      </w:r>
      <w:r>
        <w:rPr>
          <w:i/>
          <w:iCs/>
          <w:sz w:val="24"/>
        </w:rPr>
        <w:t>θ</w:t>
      </w:r>
      <w:r>
        <w:rPr>
          <w:rFonts w:hint="eastAsia"/>
          <w:sz w:val="24"/>
        </w:rPr>
        <w:t>角度</w:t>
      </w:r>
      <w:r>
        <w:rPr>
          <w:sz w:val="24"/>
        </w:rPr>
        <w:t>标准值为横坐标，对所得数据点进行线性拟合，如式</w:t>
      </w:r>
      <w:r>
        <w:rPr>
          <w:rFonts w:hint="eastAsia"/>
          <w:sz w:val="24"/>
        </w:rPr>
        <w:t>(</w:t>
      </w:r>
      <w:r>
        <w:rPr>
          <w:sz w:val="24"/>
        </w:rPr>
        <w:t>6</w:t>
      </w:r>
      <w:r>
        <w:rPr>
          <w:rFonts w:hint="eastAsia"/>
          <w:sz w:val="24"/>
        </w:rPr>
        <w:t>)</w:t>
      </w:r>
      <w:r>
        <w:rPr>
          <w:sz w:val="24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y</w:t>
      </w:r>
      <w:r>
        <w:rPr>
          <w:sz w:val="24"/>
        </w:rPr>
        <w:t>=</w:t>
      </w:r>
      <w:r>
        <w:rPr>
          <w:i/>
          <w:sz w:val="24"/>
        </w:rPr>
        <w:t>a</w:t>
      </w:r>
      <w:r>
        <w:rPr>
          <w:sz w:val="24"/>
        </w:rPr>
        <w:t>+</w:t>
      </w:r>
      <w:r>
        <w:rPr>
          <w:i/>
          <w:sz w:val="24"/>
        </w:rPr>
        <w:t>bx</w:t>
      </w: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>(</w:t>
      </w:r>
      <w:r>
        <w:rPr>
          <w:sz w:val="24"/>
        </w:rPr>
        <w:t>6</w:t>
      </w:r>
      <w:r>
        <w:rPr>
          <w:rFonts w:hint="eastAsia"/>
          <w:sz w:val="24"/>
        </w:rPr>
        <w:t>)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式中：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y</w:t>
      </w:r>
      <w:r>
        <w:rPr>
          <w:sz w:val="24"/>
        </w:rPr>
        <w:t xml:space="preserve"> —</w:t>
      </w:r>
      <w:r>
        <w:rPr>
          <w:rFonts w:hint="eastAsia"/>
          <w:sz w:val="24"/>
        </w:rPr>
        <w:t>2</w:t>
      </w:r>
      <w:r>
        <w:rPr>
          <w:i/>
          <w:iCs/>
          <w:sz w:val="24"/>
        </w:rPr>
        <w:t>θ</w:t>
      </w:r>
      <w:r>
        <w:rPr>
          <w:rFonts w:hint="eastAsia"/>
          <w:sz w:val="24"/>
        </w:rPr>
        <w:t>角度</w:t>
      </w:r>
      <w:r>
        <w:rPr>
          <w:sz w:val="24"/>
        </w:rPr>
        <w:t>测量值，单位为每厘米</w:t>
      </w:r>
      <w:r>
        <w:rPr>
          <w:rFonts w:hint="eastAsia"/>
          <w:sz w:val="24"/>
        </w:rPr>
        <w:t>(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)</w:t>
      </w:r>
      <w:r>
        <w:rPr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x</w:t>
      </w:r>
      <w:r>
        <w:rPr>
          <w:sz w:val="24"/>
        </w:rPr>
        <w:t xml:space="preserve"> —</w:t>
      </w:r>
      <w:r>
        <w:rPr>
          <w:rFonts w:hint="eastAsia"/>
          <w:sz w:val="24"/>
        </w:rPr>
        <w:t>2</w:t>
      </w:r>
      <w:r>
        <w:rPr>
          <w:i/>
          <w:iCs/>
          <w:sz w:val="24"/>
        </w:rPr>
        <w:t>θ</w:t>
      </w:r>
      <w:r>
        <w:rPr>
          <w:rFonts w:hint="eastAsia"/>
          <w:sz w:val="24"/>
        </w:rPr>
        <w:t>角度</w:t>
      </w:r>
      <w:r>
        <w:rPr>
          <w:sz w:val="24"/>
        </w:rPr>
        <w:t>标准值，单位为每厘米</w:t>
      </w:r>
      <w:r>
        <w:rPr>
          <w:rFonts w:hint="eastAsia"/>
          <w:sz w:val="24"/>
        </w:rPr>
        <w:t>(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)</w:t>
      </w:r>
      <w:r>
        <w:rPr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a</w:t>
      </w:r>
      <w:r>
        <w:rPr>
          <w:sz w:val="24"/>
        </w:rPr>
        <w:t xml:space="preserve"> —拟合直线的截距，单位为每厘米</w:t>
      </w:r>
      <w:r>
        <w:rPr>
          <w:rFonts w:hint="eastAsia"/>
          <w:sz w:val="24"/>
        </w:rPr>
        <w:t>(</w:t>
      </w:r>
      <w:r>
        <w:rPr>
          <w:sz w:val="24"/>
        </w:rPr>
        <w:t>cm</w:t>
      </w:r>
      <w:r>
        <w:rPr>
          <w:sz w:val="24"/>
          <w:vertAlign w:val="superscript"/>
        </w:rPr>
        <w:t>-1</w:t>
      </w:r>
      <w:r>
        <w:rPr>
          <w:rFonts w:hint="eastAsia"/>
          <w:sz w:val="24"/>
        </w:rPr>
        <w:t>)</w:t>
      </w:r>
      <w:r>
        <w:rPr>
          <w:sz w:val="24"/>
        </w:rPr>
        <w:t>；</w:t>
      </w:r>
    </w:p>
    <w:p>
      <w:pPr>
        <w:spacing w:line="360" w:lineRule="auto"/>
        <w:ind w:firstLine="480"/>
        <w:rPr>
          <w:sz w:val="24"/>
        </w:rPr>
      </w:pPr>
      <w:r>
        <w:rPr>
          <w:i/>
          <w:sz w:val="24"/>
        </w:rPr>
        <w:t>b</w:t>
      </w:r>
      <w:r>
        <w:rPr>
          <w:sz w:val="24"/>
        </w:rPr>
        <w:t xml:space="preserve"> —拟合直线的斜率，无量纲。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将石墨烯粉体材料2</w:t>
      </w:r>
      <w:r>
        <w:rPr>
          <w:i/>
          <w:iCs/>
          <w:sz w:val="24"/>
        </w:rPr>
        <w:t>θ</w:t>
      </w:r>
      <w:r>
        <w:rPr>
          <w:rFonts w:hint="eastAsia"/>
          <w:sz w:val="24"/>
        </w:rPr>
        <w:t>角度测量值代入</w:t>
      </w:r>
      <w:r>
        <w:rPr>
          <w:sz w:val="24"/>
        </w:rPr>
        <w:t>式</w:t>
      </w:r>
      <w:r>
        <w:rPr>
          <w:rFonts w:hint="eastAsia"/>
          <w:sz w:val="24"/>
        </w:rPr>
        <w:t>(</w:t>
      </w:r>
      <w:r>
        <w:rPr>
          <w:sz w:val="24"/>
        </w:rPr>
        <w:t>6</w:t>
      </w:r>
      <w:r>
        <w:rPr>
          <w:rFonts w:hint="eastAsia"/>
          <w:sz w:val="24"/>
        </w:rPr>
        <w:t>)，从而得到石墨烯粉体材料2</w:t>
      </w:r>
      <w:r>
        <w:rPr>
          <w:i/>
          <w:iCs/>
          <w:sz w:val="24"/>
        </w:rPr>
        <w:t>θ</w:t>
      </w:r>
      <w:r>
        <w:rPr>
          <w:rFonts w:hint="eastAsia"/>
          <w:sz w:val="24"/>
        </w:rPr>
        <w:t>角度的校准值。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.2 不确定度评定</w:t>
      </w: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.2.1 校准曲线引入的不确定度分量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校准曲线引入的不确定度见式</w:t>
      </w:r>
      <w:r>
        <w:rPr>
          <w:rFonts w:hint="eastAsia" w:hAnsiTheme="minorEastAsia" w:eastAsiaTheme="minorEastAsia"/>
          <w:sz w:val="24"/>
        </w:rPr>
        <w:t>(7)</w:t>
      </w:r>
      <w:r>
        <w:rPr>
          <w:rFonts w:hAnsiTheme="minorEastAsia" w:eastAsiaTheme="minorEastAsia"/>
          <w:sz w:val="24"/>
        </w:rPr>
        <w:t>、(</w:t>
      </w:r>
      <w:r>
        <w:rPr>
          <w:rFonts w:hint="eastAsia" w:hAnsiTheme="minorEastAsia" w:eastAsiaTheme="minorEastAsia"/>
          <w:sz w:val="24"/>
        </w:rPr>
        <w:t>8</w:t>
      </w:r>
      <w:r>
        <w:rPr>
          <w:rFonts w:hAnsiTheme="minorEastAsia" w:eastAsiaTheme="minorEastAsia"/>
          <w:sz w:val="24"/>
        </w:rPr>
        <w:t>)</w:t>
      </w:r>
      <w:r>
        <w:rPr>
          <w:rFonts w:eastAsiaTheme="minorEastAsia"/>
          <w:sz w:val="24"/>
        </w:rPr>
        <w:t>.</w:t>
      </w:r>
    </w:p>
    <w:p>
      <w:pPr>
        <w:widowControl/>
        <w:autoSpaceDE w:val="0"/>
        <w:autoSpaceDN w:val="0"/>
        <w:spacing w:line="360" w:lineRule="auto"/>
        <w:ind w:firstLine="420" w:firstLineChars="200"/>
        <w:jc w:val="center"/>
        <w:rPr>
          <w:rFonts w:eastAsiaTheme="minorEastAsia"/>
        </w:rPr>
      </w:pPr>
      <w:r>
        <w:rPr>
          <w:rFonts w:eastAsiaTheme="minorEastAsia"/>
          <w:position w:val="-62"/>
        </w:rPr>
        <w:object>
          <v:shape id="_x0000_i1032" o:spt="75" type="#_x0000_t75" style="height:54pt;width:158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eastAsiaTheme="minorEastAsia"/>
        </w:rPr>
        <w:t xml:space="preserve">                </w:t>
      </w:r>
      <w:r>
        <w:rPr>
          <w:rFonts w:hAnsiTheme="minorEastAsia" w:eastAsiaTheme="minorEastAsia"/>
          <w:sz w:val="24"/>
        </w:rPr>
        <w:t>（</w:t>
      </w:r>
      <w:r>
        <w:rPr>
          <w:rFonts w:hint="eastAsia" w:hAnsiTheme="minorEastAsia" w:eastAsiaTheme="minorEastAsia"/>
          <w:sz w:val="24"/>
        </w:rPr>
        <w:t>7</w:t>
      </w:r>
      <w:r>
        <w:rPr>
          <w:rFonts w:hAnsiTheme="minorEastAsia" w:eastAsiaTheme="minorEastAsia"/>
          <w:sz w:val="24"/>
        </w:rPr>
        <w:t>）</w:t>
      </w:r>
    </w:p>
    <w:p>
      <w:pPr>
        <w:widowControl/>
        <w:autoSpaceDE w:val="0"/>
        <w:autoSpaceDN w:val="0"/>
        <w:spacing w:line="360" w:lineRule="auto"/>
        <w:ind w:firstLine="1800" w:firstLineChars="75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其中，</w:t>
      </w:r>
      <w:r>
        <w:rPr>
          <w:rFonts w:eastAsiaTheme="minorEastAsia"/>
          <w:position w:val="-26"/>
        </w:rPr>
        <w:object>
          <v:shape id="_x0000_i1033" o:spt="75" type="#_x0000_t75" style="height:53.25pt;width:131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eastAsiaTheme="minorEastAsia"/>
        </w:rPr>
        <w:t xml:space="preserve">                </w:t>
      </w:r>
      <w:r>
        <w:rPr>
          <w:rFonts w:hAnsiTheme="minorEastAsia" w:eastAsiaTheme="minorEastAsia"/>
          <w:sz w:val="24"/>
        </w:rPr>
        <w:t>（</w:t>
      </w:r>
      <w:r>
        <w:rPr>
          <w:rFonts w:hint="eastAsia" w:hAnsiTheme="minorEastAsia" w:eastAsiaTheme="minorEastAsia"/>
          <w:sz w:val="24"/>
        </w:rPr>
        <w:t>8</w:t>
      </w:r>
      <w:r>
        <w:rPr>
          <w:rFonts w:hAnsiTheme="minorEastAsia" w:eastAsiaTheme="minorEastAsia"/>
          <w:sz w:val="24"/>
        </w:rPr>
        <w:t>）</w:t>
      </w:r>
    </w:p>
    <w:p>
      <w:pPr>
        <w:widowControl/>
        <w:autoSpaceDE w:val="0"/>
        <w:autoSpaceDN w:val="0"/>
        <w:spacing w:line="360" w:lineRule="auto"/>
        <w:jc w:val="left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式中：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i/>
          <w:iCs/>
          <w:sz w:val="24"/>
        </w:rPr>
        <w:t>S</w:t>
      </w:r>
      <w:r>
        <w:rPr>
          <w:rFonts w:hAnsiTheme="minorEastAsia" w:eastAsiaTheme="minorEastAsia"/>
          <w:sz w:val="24"/>
        </w:rPr>
        <w:t>：剩余标准偏差；</w:t>
      </w:r>
      <w:r>
        <w:rPr>
          <w:rFonts w:eastAsiaTheme="minorEastAsia"/>
          <w:sz w:val="24"/>
        </w:rPr>
        <w:t xml:space="preserve"> 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i/>
          <w:iCs/>
          <w:sz w:val="24"/>
        </w:rPr>
        <w:t>a</w:t>
      </w:r>
      <w:r>
        <w:rPr>
          <w:rFonts w:hAnsiTheme="minorEastAsia" w:eastAsiaTheme="minorEastAsia"/>
          <w:i/>
          <w:iCs/>
          <w:sz w:val="24"/>
        </w:rPr>
        <w:t>：</w:t>
      </w:r>
      <w:r>
        <w:rPr>
          <w:rFonts w:hAnsiTheme="minorEastAsia" w:eastAsiaTheme="minorEastAsia"/>
          <w:sz w:val="24"/>
        </w:rPr>
        <w:t>拟合直线的截距；</w:t>
      </w:r>
      <w:r>
        <w:rPr>
          <w:rFonts w:eastAsiaTheme="minorEastAsia"/>
          <w:sz w:val="24"/>
        </w:rPr>
        <w:t xml:space="preserve"> 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i/>
          <w:iCs/>
          <w:sz w:val="24"/>
        </w:rPr>
        <w:t>b</w:t>
      </w:r>
      <w:r>
        <w:rPr>
          <w:rFonts w:hAnsiTheme="minorEastAsia" w:eastAsiaTheme="minorEastAsia"/>
          <w:sz w:val="24"/>
        </w:rPr>
        <w:t>：拟合直线的斜率；</w:t>
      </w:r>
      <w:r>
        <w:rPr>
          <w:rFonts w:eastAsiaTheme="minorEastAsia"/>
          <w:sz w:val="24"/>
        </w:rPr>
        <w:t xml:space="preserve"> 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i/>
          <w:iCs/>
          <w:sz w:val="24"/>
        </w:rPr>
        <w:t>p</w:t>
      </w:r>
      <w:r>
        <w:rPr>
          <w:rFonts w:hAnsiTheme="minorEastAsia" w:eastAsiaTheme="minorEastAsia"/>
          <w:sz w:val="24"/>
        </w:rPr>
        <w:t>：测试样品晶面测量的次数；</w:t>
      </w:r>
      <w:r>
        <w:rPr>
          <w:rFonts w:eastAsiaTheme="minorEastAsia"/>
          <w:sz w:val="24"/>
        </w:rPr>
        <w:t xml:space="preserve"> 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i/>
          <w:iCs/>
          <w:sz w:val="24"/>
        </w:rPr>
        <w:t>n</w:t>
      </w:r>
      <w:r>
        <w:rPr>
          <w:rFonts w:hAnsiTheme="minorEastAsia" w:eastAsiaTheme="minorEastAsia"/>
          <w:sz w:val="24"/>
        </w:rPr>
        <w:t>：标准物质所有晶面测量的总次数；</w:t>
      </w:r>
      <w:r>
        <w:rPr>
          <w:rFonts w:eastAsiaTheme="minorEastAsia"/>
          <w:sz w:val="24"/>
        </w:rPr>
        <w:t xml:space="preserve"> 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i/>
          <w:iCs/>
          <w:sz w:val="24"/>
        </w:rPr>
        <w:t>x</w:t>
      </w:r>
      <w:r>
        <w:rPr>
          <w:rFonts w:eastAsiaTheme="minorEastAsia"/>
          <w:sz w:val="24"/>
          <w:vertAlign w:val="subscript"/>
        </w:rPr>
        <w:t>0</w:t>
      </w:r>
      <w:r>
        <w:rPr>
          <w:rFonts w:hAnsiTheme="minorEastAsia" w:eastAsiaTheme="minorEastAsia"/>
          <w:sz w:val="24"/>
        </w:rPr>
        <w:t>：测试样品的测量平均值；</w:t>
      </w:r>
      <w:r>
        <w:rPr>
          <w:rFonts w:eastAsiaTheme="minorEastAsia"/>
          <w:sz w:val="24"/>
        </w:rPr>
        <w:t xml:space="preserve"> 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i/>
          <w:iCs/>
          <w:sz w:val="24"/>
        </w:rPr>
        <w:t>x</w:t>
      </w:r>
      <w:r>
        <w:rPr>
          <w:rFonts w:hAnsiTheme="minorEastAsia" w:eastAsiaTheme="minorEastAsia"/>
          <w:sz w:val="24"/>
        </w:rPr>
        <w:t>：标准物质的测量平均值；</w:t>
      </w:r>
      <w:r>
        <w:rPr>
          <w:rFonts w:eastAsiaTheme="minorEastAsia"/>
          <w:sz w:val="24"/>
        </w:rPr>
        <w:t xml:space="preserve"> 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i/>
          <w:iCs/>
          <w:sz w:val="24"/>
        </w:rPr>
        <w:t>x</w:t>
      </w:r>
      <w:r>
        <w:rPr>
          <w:rFonts w:eastAsiaTheme="minorEastAsia"/>
          <w:sz w:val="24"/>
          <w:vertAlign w:val="subscript"/>
        </w:rPr>
        <w:t>i</w:t>
      </w:r>
      <w:r>
        <w:rPr>
          <w:rFonts w:hAnsiTheme="minorEastAsia" w:eastAsiaTheme="minorEastAsia"/>
          <w:sz w:val="24"/>
        </w:rPr>
        <w:t>：标准物质第</w:t>
      </w:r>
      <w:r>
        <w:rPr>
          <w:rFonts w:eastAsiaTheme="minorEastAsia"/>
          <w:i/>
          <w:iCs/>
          <w:sz w:val="24"/>
        </w:rPr>
        <w:t>i</w:t>
      </w:r>
      <w:r>
        <w:rPr>
          <w:rFonts w:hAnsiTheme="minorEastAsia" w:eastAsiaTheme="minorEastAsia"/>
          <w:sz w:val="24"/>
        </w:rPr>
        <w:t>次测量的标准值；</w:t>
      </w:r>
      <w:r>
        <w:rPr>
          <w:rFonts w:eastAsiaTheme="minorEastAsia"/>
          <w:sz w:val="24"/>
        </w:rPr>
        <w:t xml:space="preserve"> </w:t>
      </w:r>
    </w:p>
    <w:p>
      <w:pPr>
        <w:widowControl/>
        <w:autoSpaceDE w:val="0"/>
        <w:autoSpaceDN w:val="0"/>
        <w:spacing w:line="360" w:lineRule="auto"/>
        <w:ind w:firstLine="420" w:firstLineChars="200"/>
        <w:rPr>
          <w:rFonts w:eastAsiaTheme="minorEastAsia"/>
          <w:sz w:val="24"/>
        </w:rPr>
      </w:pPr>
      <w:r>
        <w:rPr>
          <w:rFonts w:eastAsiaTheme="minorEastAsia"/>
          <w:position w:val="-6"/>
        </w:rPr>
        <w:object>
          <v:shape id="_x0000_i103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AnsiTheme="minorEastAsia" w:eastAsiaTheme="minorEastAsia"/>
          <w:sz w:val="24"/>
        </w:rPr>
        <w:t>：标准物质的标准值的平均值；</w:t>
      </w:r>
      <w:r>
        <w:rPr>
          <w:rFonts w:eastAsiaTheme="minorEastAsia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</w:rPr>
      </w:pPr>
      <w:r>
        <w:rPr>
          <w:rFonts w:eastAsiaTheme="minorEastAsia"/>
          <w:i/>
          <w:iCs/>
          <w:sz w:val="24"/>
        </w:rPr>
        <w:t>y</w:t>
      </w:r>
      <w:r>
        <w:rPr>
          <w:rFonts w:hAnsiTheme="minorEastAsia" w:eastAsiaTheme="minorEastAsia"/>
          <w:sz w:val="24"/>
        </w:rPr>
        <w:t>：标准物质的测量值。</w:t>
      </w:r>
    </w:p>
    <w:p>
      <w:pPr>
        <w:spacing w:line="360" w:lineRule="auto"/>
        <w:ind w:firstLine="480" w:firstLineChars="200"/>
        <w:rPr>
          <w:rFonts w:hAnsiTheme="minorEastAsia" w:eastAsiaTheme="minorEastAsia"/>
          <w:sz w:val="24"/>
        </w:rPr>
      </w:pPr>
      <w:r>
        <w:rPr>
          <w:rFonts w:hAnsiTheme="minorEastAsia" w:eastAsiaTheme="minorEastAsia"/>
          <w:sz w:val="24"/>
        </w:rPr>
        <w:t>计算</w:t>
      </w:r>
      <w:r>
        <w:rPr>
          <w:rFonts w:hint="eastAsia" w:hAnsiTheme="minorEastAsia" w:eastAsiaTheme="minorEastAsia"/>
          <w:sz w:val="24"/>
        </w:rPr>
        <w:t>得出</w:t>
      </w:r>
      <w:r>
        <w:rPr>
          <w:rFonts w:hAnsiTheme="minorEastAsia" w:eastAsiaTheme="minorEastAsia"/>
          <w:sz w:val="24"/>
        </w:rPr>
        <w:t>，</w:t>
      </w:r>
      <w:r>
        <w:rPr>
          <w:rFonts w:eastAsiaTheme="minorEastAsia"/>
          <w:i/>
          <w:sz w:val="24"/>
        </w:rPr>
        <w:t>S</w:t>
      </w:r>
      <w:r>
        <w:rPr>
          <w:rFonts w:eastAsiaTheme="minorEastAsia"/>
          <w:sz w:val="24"/>
        </w:rPr>
        <w:t>=0.0062</w:t>
      </w:r>
      <w:r>
        <w:rPr>
          <w:rFonts w:hAnsiTheme="minorEastAsia" w:eastAsiaTheme="minorEastAsia"/>
          <w:sz w:val="24"/>
        </w:rPr>
        <w:t>，</w:t>
      </w:r>
      <w:r>
        <w:rPr>
          <w:rFonts w:eastAsiaTheme="minorEastAsia"/>
          <w:i/>
          <w:sz w:val="24"/>
        </w:rPr>
        <w:t>S</w:t>
      </w:r>
      <w:r>
        <w:rPr>
          <w:rFonts w:eastAsiaTheme="minorEastAsia"/>
          <w:sz w:val="24"/>
          <w:vertAlign w:val="subscript"/>
        </w:rPr>
        <w:t>xx</w:t>
      </w:r>
      <w:r>
        <w:rPr>
          <w:rFonts w:eastAsiaTheme="minorEastAsia"/>
          <w:sz w:val="24"/>
        </w:rPr>
        <w:t>=10166.45</w:t>
      </w:r>
      <w:r>
        <w:rPr>
          <w:rFonts w:hAnsiTheme="minorEastAsia" w:eastAsiaTheme="minorEastAsia"/>
          <w:sz w:val="24"/>
        </w:rPr>
        <w:t>，</w:t>
      </w:r>
      <w:r>
        <w:rPr>
          <w:rFonts w:eastAsiaTheme="minorEastAsia"/>
          <w:i/>
          <w:sz w:val="24"/>
        </w:rPr>
        <w:t>b</w:t>
      </w:r>
      <w:r>
        <w:rPr>
          <w:rFonts w:eastAsiaTheme="minorEastAsia"/>
          <w:sz w:val="24"/>
        </w:rPr>
        <w:t>=0.99995</w:t>
      </w:r>
      <w:r>
        <w:rPr>
          <w:rFonts w:hAnsiTheme="minorEastAsia" w:eastAsiaTheme="minorEastAsia"/>
          <w:sz w:val="24"/>
        </w:rPr>
        <w:t>。石墨烯</w:t>
      </w:r>
      <w:r>
        <w:rPr>
          <w:rFonts w:hint="eastAsia" w:hAnsiTheme="minorEastAsia" w:eastAsiaTheme="minorEastAsia"/>
          <w:sz w:val="24"/>
        </w:rPr>
        <w:t>粉体</w:t>
      </w:r>
      <w:r>
        <w:rPr>
          <w:rFonts w:hAnsiTheme="minorEastAsia" w:eastAsiaTheme="minorEastAsia"/>
          <w:sz w:val="24"/>
        </w:rPr>
        <w:t>样品共测试</w:t>
      </w:r>
      <w:r>
        <w:rPr>
          <w:rFonts w:eastAsiaTheme="minorEastAsia"/>
          <w:sz w:val="24"/>
        </w:rPr>
        <w:t>9</w:t>
      </w:r>
      <w:r>
        <w:rPr>
          <w:rFonts w:hAnsiTheme="minorEastAsia" w:eastAsiaTheme="minorEastAsia"/>
          <w:sz w:val="24"/>
        </w:rPr>
        <w:t>次，故</w:t>
      </w:r>
      <w:r>
        <w:rPr>
          <w:rFonts w:eastAsiaTheme="minorEastAsia"/>
          <w:i/>
          <w:sz w:val="24"/>
        </w:rPr>
        <w:t>p</w:t>
      </w:r>
      <w:r>
        <w:rPr>
          <w:rFonts w:eastAsiaTheme="minorEastAsia"/>
          <w:sz w:val="24"/>
        </w:rPr>
        <w:t>=9</w:t>
      </w:r>
      <w:r>
        <w:rPr>
          <w:rFonts w:hAnsiTheme="minorEastAsia" w:eastAsiaTheme="minorEastAsia"/>
          <w:sz w:val="24"/>
        </w:rPr>
        <w:t>；对标准物质</w:t>
      </w:r>
      <w:r>
        <w:rPr>
          <w:rFonts w:eastAsiaTheme="minorEastAsia"/>
          <w:sz w:val="24"/>
        </w:rPr>
        <w:t>8</w:t>
      </w:r>
      <w:r>
        <w:rPr>
          <w:rFonts w:hAnsiTheme="minorEastAsia" w:eastAsiaTheme="minorEastAsia"/>
          <w:sz w:val="24"/>
        </w:rPr>
        <w:t>个晶面各测</w:t>
      </w:r>
      <w:r>
        <w:rPr>
          <w:rFonts w:eastAsiaTheme="minorEastAsia"/>
          <w:sz w:val="24"/>
        </w:rPr>
        <w:t>1</w:t>
      </w:r>
      <w:r>
        <w:rPr>
          <w:rFonts w:hAnsiTheme="minorEastAsia" w:eastAsiaTheme="minorEastAsia"/>
          <w:sz w:val="24"/>
        </w:rPr>
        <w:t>次，故</w:t>
      </w:r>
      <w:r>
        <w:rPr>
          <w:rFonts w:eastAsiaTheme="minorEastAsia"/>
          <w:i/>
          <w:sz w:val="24"/>
        </w:rPr>
        <w:t>n</w:t>
      </w:r>
      <w:r>
        <w:rPr>
          <w:rFonts w:eastAsiaTheme="minorEastAsia"/>
          <w:sz w:val="24"/>
        </w:rPr>
        <w:t>=8</w:t>
      </w:r>
      <w:r>
        <w:rPr>
          <w:rFonts w:hAnsiTheme="minorEastAsia" w:eastAsiaTheme="minorEastAsia"/>
          <w:sz w:val="24"/>
        </w:rPr>
        <w:t>。依据公式进行计算，</w:t>
      </w:r>
      <w:r>
        <w:rPr>
          <w:rFonts w:hint="eastAsia" w:hAnsiTheme="minorEastAsia" w:eastAsiaTheme="minorEastAsia"/>
          <w:sz w:val="24"/>
        </w:rPr>
        <w:t>该</w:t>
      </w:r>
      <w:r>
        <w:rPr>
          <w:rFonts w:hAnsiTheme="minorEastAsia" w:eastAsiaTheme="minorEastAsia"/>
          <w:sz w:val="24"/>
        </w:rPr>
        <w:t>石墨烯</w:t>
      </w:r>
      <w:r>
        <w:rPr>
          <w:rFonts w:hint="eastAsia" w:hAnsiTheme="minorEastAsia" w:eastAsiaTheme="minorEastAsia"/>
          <w:sz w:val="24"/>
        </w:rPr>
        <w:t>粉体样品</w:t>
      </w:r>
      <w:r>
        <w:rPr>
          <w:rFonts w:hAnsiTheme="minorEastAsia" w:eastAsiaTheme="minorEastAsia"/>
          <w:sz w:val="24"/>
        </w:rPr>
        <w:t>测量值校准后的总平均值校准结果（</w:t>
      </w:r>
      <w:r>
        <w:rPr>
          <w:rFonts w:eastAsiaTheme="minorEastAsia"/>
          <w:i/>
          <w:sz w:val="24"/>
        </w:rPr>
        <w:t>x</w:t>
      </w:r>
      <w:r>
        <w:rPr>
          <w:rFonts w:eastAsiaTheme="minorEastAsia"/>
          <w:sz w:val="24"/>
          <w:vertAlign w:val="subscript"/>
        </w:rPr>
        <w:t>0</w:t>
      </w:r>
      <w:r>
        <w:rPr>
          <w:rFonts w:eastAsiaTheme="minorEastAsia"/>
          <w:sz w:val="24"/>
        </w:rPr>
        <w:t>=12.0085</w:t>
      </w:r>
      <w:r>
        <w:rPr>
          <w:rFonts w:hAnsiTheme="minorEastAsia" w:eastAsiaTheme="minorEastAsia"/>
          <w:sz w:val="24"/>
        </w:rPr>
        <w:t>）的不确定度</w:t>
      </w:r>
      <w:r>
        <w:rPr>
          <w:rFonts w:eastAsiaTheme="minorEastAsia"/>
          <w:i/>
          <w:sz w:val="24"/>
        </w:rPr>
        <w:t>u</w:t>
      </w:r>
      <w:r>
        <w:rPr>
          <w:rFonts w:eastAsiaTheme="minorEastAsia"/>
          <w:i/>
          <w:sz w:val="24"/>
          <w:vertAlign w:val="subscript"/>
        </w:rPr>
        <w:t>plot</w:t>
      </w:r>
      <w:r>
        <w:rPr>
          <w:rFonts w:eastAsiaTheme="minorEastAsia"/>
          <w:sz w:val="24"/>
        </w:rPr>
        <w:t>(</w:t>
      </w:r>
      <w:r>
        <w:rPr>
          <w:rFonts w:eastAsiaTheme="minorEastAsia"/>
          <w:i/>
          <w:sz w:val="24"/>
        </w:rPr>
        <w:t xml:space="preserve"> x</w:t>
      </w:r>
      <w:r>
        <w:rPr>
          <w:rFonts w:eastAsiaTheme="minorEastAsia"/>
          <w:sz w:val="24"/>
          <w:vertAlign w:val="subscript"/>
        </w:rPr>
        <w:t>0</w:t>
      </w:r>
      <w:r>
        <w:rPr>
          <w:rFonts w:eastAsiaTheme="minorEastAsia"/>
          <w:sz w:val="24"/>
        </w:rPr>
        <w:t>) =0.0044°</w:t>
      </w:r>
      <w:r>
        <w:rPr>
          <w:rFonts w:hAnsiTheme="minorEastAsia" w:eastAsiaTheme="minorEastAsia"/>
          <w:sz w:val="24"/>
        </w:rPr>
        <w:t>。</w:t>
      </w:r>
    </w:p>
    <w:p>
      <w:pPr>
        <w:widowControl/>
        <w:autoSpaceDE w:val="0"/>
        <w:autoSpaceDN w:val="0"/>
        <w:spacing w:line="360" w:lineRule="auto"/>
        <w:rPr>
          <w:rFonts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3</w:t>
      </w:r>
      <w:r>
        <w:rPr>
          <w:rFonts w:hAnsiTheme="minorEastAsia" w:eastAsiaTheme="minorEastAsia"/>
          <w:sz w:val="24"/>
        </w:rPr>
        <w:t>.2.2 测量重复性引入的不确定度</w:t>
      </w:r>
    </w:p>
    <w:p>
      <w:pPr>
        <w:pStyle w:val="17"/>
        <w:adjustRightInd w:val="0"/>
        <w:spacing w:before="0" w:beforeAutospacing="0" w:after="0" w:afterAutospacing="0" w:line="360" w:lineRule="auto"/>
        <w:ind w:firstLine="480" w:firstLineChars="200"/>
        <w:rPr>
          <w:rFonts w:ascii="Times New Roman" w:hAnsi="Times New Roman" w:cs="Times New Roman" w:eastAsiaTheme="minorEastAsia"/>
          <w:i/>
        </w:rPr>
      </w:pPr>
      <w:r>
        <w:rPr>
          <w:rFonts w:ascii="Times New Roman" w:cs="Times New Roman" w:hAnsiTheme="minorEastAsia" w:eastAsiaTheme="minorEastAsia"/>
        </w:rPr>
        <w:t>测量重复性引入的不确定度可以通过计算重复测量的标准偏差表示。</w:t>
      </w:r>
      <w:r>
        <w:rPr>
          <w:rFonts w:hint="eastAsia" w:hAnsiTheme="minorEastAsia" w:eastAsiaTheme="minorEastAsia"/>
        </w:rPr>
        <w:t>该</w:t>
      </w:r>
      <w:r>
        <w:rPr>
          <w:rFonts w:ascii="Times New Roman" w:hAnsiTheme="minorEastAsia" w:eastAsiaTheme="minorEastAsia"/>
        </w:rPr>
        <w:t>石墨烯</w:t>
      </w:r>
      <w:r>
        <w:rPr>
          <w:rFonts w:hint="eastAsia" w:hAnsiTheme="minorEastAsia" w:eastAsiaTheme="minorEastAsia"/>
        </w:rPr>
        <w:t>粉体</w:t>
      </w:r>
      <w:r>
        <w:rPr>
          <w:rFonts w:ascii="Times New Roman" w:hAnsi="Times New Roman" w:cs="Times New Roman" w:eastAsiaTheme="minorEastAsia"/>
        </w:rPr>
        <w:t>9</w:t>
      </w:r>
      <w:r>
        <w:rPr>
          <w:rFonts w:ascii="Times New Roman" w:cs="Times New Roman" w:hAnsiTheme="minorEastAsia" w:eastAsiaTheme="minorEastAsia"/>
        </w:rPr>
        <w:t>次测量结果的标准偏差为</w:t>
      </w:r>
      <w:r>
        <w:rPr>
          <w:rFonts w:ascii="Times New Roman" w:hAnsi="Times New Roman" w:cs="Times New Roman" w:eastAsiaTheme="minorEastAsia"/>
          <w:i/>
          <w:iCs/>
        </w:rPr>
        <w:t>u</w:t>
      </w:r>
      <w:r>
        <w:rPr>
          <w:rFonts w:ascii="Times New Roman" w:hAnsi="Times New Roman" w:cs="Times New Roman" w:eastAsiaTheme="minorEastAsia"/>
          <w:i/>
          <w:iCs/>
          <w:vertAlign w:val="subscript"/>
        </w:rPr>
        <w:t>r</w:t>
      </w:r>
      <w:r>
        <w:rPr>
          <w:rFonts w:ascii="Times New Roman" w:hAnsi="Times New Roman" w:cs="Times New Roman" w:eastAsiaTheme="minorEastAsia"/>
        </w:rPr>
        <w:t>=</w:t>
      </w:r>
      <w:r>
        <w:rPr>
          <w:rFonts w:ascii="Times New Roman" w:hAnsi="Times New Roman" w:cs="Times New Roman" w:eastAsiaTheme="minorEastAsia"/>
          <w:kern w:val="2"/>
        </w:rPr>
        <w:t>0.1207°</w:t>
      </w:r>
      <w:r>
        <w:rPr>
          <w:rFonts w:ascii="Times New Roman" w:cs="Times New Roman" w:hAnsiTheme="minorEastAsia" w:eastAsiaTheme="minorEastAsia"/>
          <w:kern w:val="2"/>
        </w:rPr>
        <w:t>。</w:t>
      </w:r>
    </w:p>
    <w:p>
      <w:pPr>
        <w:widowControl/>
        <w:autoSpaceDE w:val="0"/>
        <w:autoSpaceDN w:val="0"/>
        <w:spacing w:line="360" w:lineRule="auto"/>
        <w:rPr>
          <w:rFonts w:eastAsiaTheme="minorEastAsia"/>
          <w:sz w:val="24"/>
          <w:vertAlign w:val="subscript"/>
        </w:rPr>
      </w:pPr>
      <w:r>
        <w:rPr>
          <w:rFonts w:hint="eastAsia" w:hAnsiTheme="minorEastAsia" w:eastAsiaTheme="minorEastAsia"/>
          <w:sz w:val="24"/>
        </w:rPr>
        <w:t>3</w:t>
      </w:r>
      <w:r>
        <w:rPr>
          <w:rFonts w:hAnsiTheme="minorEastAsia" w:eastAsiaTheme="minorEastAsia"/>
          <w:sz w:val="24"/>
        </w:rPr>
        <w:t>.2.3 标准物质引入的不确定度</w:t>
      </w:r>
    </w:p>
    <w:p>
      <w:pPr>
        <w:widowControl/>
        <w:autoSpaceDE w:val="0"/>
        <w:autoSpaceDN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所测的标准物质</w:t>
      </w:r>
      <w:r>
        <w:rPr>
          <w:rFonts w:eastAsiaTheme="minorEastAsia"/>
          <w:i/>
          <w:iCs/>
          <w:sz w:val="24"/>
        </w:rPr>
        <w:t>a</w:t>
      </w:r>
      <w:r>
        <w:rPr>
          <w:rFonts w:hAnsiTheme="minorEastAsia" w:eastAsiaTheme="minorEastAsia"/>
          <w:sz w:val="24"/>
        </w:rPr>
        <w:t>值为</w:t>
      </w:r>
      <w:r>
        <w:rPr>
          <w:rFonts w:eastAsiaTheme="minorEastAsia"/>
          <w:sz w:val="24"/>
        </w:rPr>
        <w:t>0.491406±0.000020 nm</w:t>
      </w:r>
      <w:r>
        <w:rPr>
          <w:rFonts w:hAnsiTheme="minorEastAsia" w:eastAsiaTheme="minorEastAsia"/>
          <w:sz w:val="24"/>
        </w:rPr>
        <w:t>，</w:t>
      </w:r>
      <w:r>
        <w:rPr>
          <w:rFonts w:eastAsiaTheme="minorEastAsia"/>
          <w:i/>
          <w:iCs/>
          <w:sz w:val="24"/>
        </w:rPr>
        <w:t>c</w:t>
      </w:r>
      <w:r>
        <w:rPr>
          <w:rFonts w:hAnsiTheme="minorEastAsia" w:eastAsiaTheme="minorEastAsia"/>
          <w:sz w:val="24"/>
        </w:rPr>
        <w:t>值为</w:t>
      </w:r>
      <w:r>
        <w:rPr>
          <w:rFonts w:eastAsiaTheme="minorEastAsia"/>
          <w:sz w:val="24"/>
        </w:rPr>
        <w:t>0.540554±0.000020 nm</w:t>
      </w:r>
      <w:r>
        <w:rPr>
          <w:rFonts w:hAnsiTheme="minorEastAsia" w:eastAsiaTheme="minorEastAsia"/>
          <w:sz w:val="24"/>
        </w:rPr>
        <w:t>，经计算可得标准物质在</w:t>
      </w:r>
      <w:r>
        <w:rPr>
          <w:rFonts w:eastAsiaTheme="minorEastAsia"/>
          <w:sz w:val="24"/>
        </w:rPr>
        <w:t>2</w:t>
      </w:r>
      <w:r>
        <w:rPr>
          <w:rFonts w:eastAsiaTheme="minorEastAsia"/>
          <w:i/>
          <w:sz w:val="24"/>
        </w:rPr>
        <w:t>θ=</w:t>
      </w:r>
      <w:r>
        <w:rPr>
          <w:rFonts w:eastAsiaTheme="minorEastAsia"/>
          <w:sz w:val="24"/>
        </w:rPr>
        <w:t>12.0085°</w:t>
      </w:r>
      <w:r>
        <w:rPr>
          <w:rFonts w:hAnsiTheme="minorEastAsia" w:eastAsiaTheme="minorEastAsia"/>
          <w:sz w:val="24"/>
        </w:rPr>
        <w:t>处引入的不确定度为</w:t>
      </w:r>
      <w:r>
        <w:rPr>
          <w:rFonts w:hAnsiTheme="minorEastAsia" w:eastAsiaTheme="minorEastAsia"/>
          <w:i/>
          <w:iCs/>
          <w:sz w:val="24"/>
        </w:rPr>
        <w:t>u</w:t>
      </w:r>
      <w:r>
        <w:rPr>
          <w:rFonts w:hAnsiTheme="minorEastAsia" w:eastAsiaTheme="minorEastAsia"/>
          <w:i/>
          <w:iCs/>
          <w:sz w:val="24"/>
          <w:vertAlign w:val="subscript"/>
        </w:rPr>
        <w:t>RM</w:t>
      </w:r>
      <w:r>
        <w:rPr>
          <w:rFonts w:hAnsiTheme="minorEastAsia" w:eastAsiaTheme="minorEastAsia"/>
          <w:sz w:val="24"/>
        </w:rPr>
        <w:t>=</w:t>
      </w:r>
      <w:r>
        <w:rPr>
          <w:rFonts w:eastAsiaTheme="minorEastAsia"/>
          <w:sz w:val="24"/>
        </w:rPr>
        <w:t>5.01E-06°</w:t>
      </w:r>
      <w:r>
        <w:rPr>
          <w:rFonts w:hAnsiTheme="minorEastAsia" w:eastAsiaTheme="minorEastAsia"/>
          <w:kern w:val="0"/>
          <w:sz w:val="24"/>
        </w:rPr>
        <w:t>。</w:t>
      </w:r>
    </w:p>
    <w:p>
      <w:pPr>
        <w:pStyle w:val="17"/>
        <w:adjustRightInd w:val="0"/>
        <w:snapToGrid w:val="0"/>
        <w:spacing w:before="0" w:beforeAutospacing="0" w:after="0" w:afterAutospacing="0" w:line="360" w:lineRule="auto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3.2.</w:t>
      </w:r>
      <w:r>
        <w:rPr>
          <w:rFonts w:hint="eastAsia" w:ascii="Times New Roman" w:hAnsi="Times New Roman" w:cs="Times New Roman"/>
          <w:color w:val="000000" w:themeColor="text1"/>
        </w:rPr>
        <w:t>4合成不确定度</w:t>
      </w:r>
    </w:p>
    <w:p>
      <w:pPr>
        <w:pStyle w:val="17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cs="Times New Roman"/>
        </w:rPr>
      </w:pPr>
      <w:r>
        <w:rPr>
          <w:rFonts w:hint="eastAsia" w:cs="Times New Roman"/>
        </w:rPr>
        <w:t>合成不确定度</w:t>
      </w:r>
      <w:r>
        <w:rPr>
          <w:rFonts w:hint="eastAsia" w:ascii="Times New Roman" w:hAnsi="Times New Roman" w:cs="Times New Roman"/>
          <w:i/>
          <w:iCs/>
        </w:rPr>
        <w:t>u</w:t>
      </w:r>
      <w:r>
        <w:rPr>
          <w:rFonts w:hint="eastAsia" w:ascii="Times New Roman" w:hAnsi="Times New Roman" w:cs="Times New Roman"/>
          <w:i/>
          <w:iCs/>
          <w:vertAlign w:val="subscript"/>
        </w:rPr>
        <w:t>c</w:t>
      </w:r>
      <w:r>
        <w:rPr>
          <w:rFonts w:hint="eastAsia" w:cs="Times New Roman"/>
        </w:rPr>
        <w:t>包括校准引入的不确定度和测量引入的不确定度等因素，由公式</w:t>
      </w: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9</w:t>
      </w:r>
      <w:r>
        <w:rPr>
          <w:rFonts w:hint="eastAsia" w:ascii="Times New Roman" w:hAnsi="Times New Roman" w:cs="Times New Roman"/>
        </w:rPr>
        <w:t>)</w:t>
      </w:r>
      <w:r>
        <w:rPr>
          <w:rFonts w:hint="eastAsia" w:cs="Times New Roman"/>
        </w:rPr>
        <w:t>计算得到：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kern w:val="0"/>
          <w:position w:val="-16"/>
          <w:sz w:val="24"/>
        </w:rPr>
        <w:object>
          <v:shape id="_x0000_i1035" o:spt="75" type="#_x0000_t75" style="height:24.75pt;width:104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宋体" w:hAnsi="宋体"/>
          <w:kern w:val="0"/>
          <w:sz w:val="24"/>
        </w:rPr>
        <w:t xml:space="preserve">                                  </w:t>
      </w:r>
      <w:r>
        <w:rPr>
          <w:rFonts w:hint="eastAsia"/>
          <w:sz w:val="24"/>
        </w:rPr>
        <w:t>(</w:t>
      </w:r>
      <w:r>
        <w:rPr>
          <w:sz w:val="24"/>
        </w:rPr>
        <w:t>9</w:t>
      </w:r>
      <w:r>
        <w:rPr>
          <w:rFonts w:hint="eastAsia"/>
          <w:sz w:val="24"/>
        </w:rPr>
        <w:t>)</w:t>
      </w:r>
    </w:p>
    <w:p>
      <w:pPr>
        <w:spacing w:line="360" w:lineRule="auto"/>
        <w:ind w:firstLine="480" w:firstLineChars="200"/>
        <w:rPr>
          <w:color w:val="000000" w:themeColor="text1"/>
          <w:sz w:val="24"/>
        </w:rPr>
      </w:pPr>
      <w:r>
        <w:rPr>
          <w:rFonts w:hint="eastAsia"/>
          <w:sz w:val="24"/>
        </w:rPr>
        <w:t>合成不确定度按照公式9计算为</w:t>
      </w:r>
      <w:r>
        <w:rPr>
          <w:sz w:val="24"/>
        </w:rPr>
        <w:t>0.1208</w:t>
      </w:r>
      <w:r>
        <w:rPr>
          <w:rFonts w:hint="eastAsia"/>
          <w:sz w:val="24"/>
        </w:rPr>
        <w:t>°。</w:t>
      </w: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.</w:t>
      </w:r>
      <w:r>
        <w:rPr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.5 扩展不确定度</w:t>
      </w:r>
    </w:p>
    <w:p>
      <w:pPr>
        <w:pStyle w:val="17"/>
        <w:autoSpaceDE w:val="0"/>
        <w:adjustRightInd w:val="0"/>
        <w:snapToGrid w:val="0"/>
        <w:spacing w:before="0" w:beforeAutospacing="0" w:after="0" w:afterAutospacing="0" w:line="360" w:lineRule="auto"/>
        <w:ind w:firstLine="480" w:firstLineChars="200"/>
      </w:pPr>
      <w:r>
        <w:rPr>
          <w:rFonts w:hint="eastAsia" w:cs="Times New Roman"/>
        </w:rPr>
        <w:t>扩展不确定度</w:t>
      </w:r>
      <w:r>
        <w:rPr>
          <w:rFonts w:hint="eastAsia" w:ascii="Times New Roman" w:hAnsi="Times New Roman" w:cs="Times New Roman"/>
          <w:i/>
          <w:iCs/>
        </w:rPr>
        <w:t>U</w:t>
      </w:r>
      <w:r>
        <w:rPr>
          <w:rFonts w:hint="eastAsia" w:cs="Times New Roman"/>
        </w:rPr>
        <w:t>由公式</w:t>
      </w: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)</w:t>
      </w:r>
      <w:r>
        <w:rPr>
          <w:rFonts w:hint="eastAsia" w:cs="Times New Roman"/>
        </w:rPr>
        <w:t>计算得到：</w:t>
      </w:r>
    </w:p>
    <w:p>
      <w:pPr>
        <w:pStyle w:val="17"/>
        <w:adjustRightInd w:val="0"/>
        <w:snapToGrid w:val="0"/>
        <w:spacing w:before="0" w:beforeAutospacing="0" w:after="0" w:afterAutospacing="0" w:line="360" w:lineRule="auto"/>
        <w:ind w:firstLine="1800" w:firstLineChars="7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i/>
          <w:iCs/>
        </w:rPr>
        <w:t>U</w:t>
      </w:r>
      <w:r>
        <w:rPr>
          <w:rFonts w:hint="eastAsia" w:ascii="Times New Roman" w:hAnsi="Times New Roman" w:cs="Times New Roman"/>
        </w:rPr>
        <w:t>=</w:t>
      </w:r>
      <w:r>
        <w:rPr>
          <w:rFonts w:hint="eastAsia" w:ascii="Times New Roman" w:hAnsi="Times New Roman" w:cs="Times New Roman"/>
          <w:i/>
          <w:iCs/>
        </w:rPr>
        <w:t>k</w:t>
      </w:r>
      <w:r>
        <w:rPr>
          <w:rFonts w:hint="eastAsia" w:ascii="Times New Roman" w:hAnsi="Times New Roman" w:cs="Times New Roman"/>
        </w:rPr>
        <w:t>*</w:t>
      </w:r>
      <w:r>
        <w:rPr>
          <w:rFonts w:hint="eastAsia" w:ascii="Times New Roman" w:hAnsi="Times New Roman" w:cs="Times New Roman"/>
          <w:i/>
          <w:iCs/>
        </w:rPr>
        <w:t>u</w:t>
      </w:r>
      <w:r>
        <w:rPr>
          <w:rFonts w:hint="eastAsia" w:ascii="Times New Roman" w:hAnsi="Times New Roman" w:cs="Times New Roman"/>
          <w:i/>
          <w:iCs/>
          <w:vertAlign w:val="subscript"/>
        </w:rPr>
        <w:t>c</w:t>
      </w:r>
      <w:r>
        <w:rPr>
          <w:rFonts w:hint="eastAsia" w:ascii="Times New Roman" w:hAnsi="Times New Roman" w:cs="Times New Roman"/>
          <w:i/>
          <w:iCs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hint="eastAsia"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)</w:t>
      </w:r>
    </w:p>
    <w:p>
      <w:pPr>
        <w:pStyle w:val="17"/>
        <w:autoSpaceDE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cs="Times New Roman"/>
        </w:rPr>
        <w:t>取包含因子</w:t>
      </w:r>
      <w:r>
        <w:rPr>
          <w:rFonts w:hint="eastAsia" w:ascii="Times New Roman" w:hAnsi="Times New Roman" w:cs="Times New Roman"/>
          <w:i/>
        </w:rPr>
        <w:t>k</w:t>
      </w:r>
      <w:r>
        <w:rPr>
          <w:rFonts w:hint="eastAsia" w:ascii="Times New Roman" w:hAnsi="Times New Roman" w:cs="Times New Roman"/>
        </w:rPr>
        <w:t>=2，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0.2416</w:t>
      </w:r>
      <w:r>
        <w:rPr>
          <w:rFonts w:hint="eastAsia" w:ascii="Times New Roman" w:hAnsi="Times New Roman" w:cs="Times New Roman"/>
        </w:rPr>
        <w:t>°。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4 厚度的校准不确定度评定示例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eastAsia="TimesNewRomanPSMT"/>
          <w:b/>
          <w:bCs/>
          <w:kern w:val="0"/>
          <w:sz w:val="24"/>
        </w:rPr>
      </w:pPr>
      <w:r>
        <w:rPr>
          <w:rFonts w:eastAsia="TimesNewRomanPSMT"/>
          <w:kern w:val="0"/>
          <w:sz w:val="24"/>
        </w:rPr>
        <w:t xml:space="preserve">4.1 </w:t>
      </w:r>
      <w:r>
        <w:rPr>
          <w:rFonts w:hint="eastAsia" w:eastAsiaTheme="minorEastAsia"/>
          <w:kern w:val="0"/>
          <w:sz w:val="24"/>
        </w:rPr>
        <w:t>校准</w:t>
      </w:r>
      <w:r>
        <w:rPr>
          <w:rFonts w:eastAsiaTheme="minorEastAsia"/>
          <w:kern w:val="0"/>
          <w:sz w:val="24"/>
        </w:rPr>
        <w:t>设备引入的不确定度</w:t>
      </w:r>
    </w:p>
    <w:p>
      <w:pPr>
        <w:autoSpaceDE w:val="0"/>
        <w:autoSpaceDN w:val="0"/>
        <w:adjustRightInd w:val="0"/>
        <w:spacing w:line="360" w:lineRule="auto"/>
        <w:ind w:firstLine="315" w:firstLineChars="150"/>
        <w:jc w:val="left"/>
        <w:rPr>
          <w:sz w:val="24"/>
        </w:rPr>
      </w:pPr>
      <w:r>
        <w:rPr>
          <w:rFonts w:hint="eastAsia"/>
        </w:rPr>
        <w:t>使用</w:t>
      </w:r>
      <w:r>
        <w:rPr>
          <w:rFonts w:hint="eastAsia"/>
          <w:sz w:val="24"/>
        </w:rPr>
        <w:t>AFM的分辨率用作整个间隔宽度（</w:t>
      </w:r>
      <w:r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），分辨率的一半（</w:t>
      </w:r>
      <w:r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/2）用作半宽间隔。将其视为均匀分布，设备</w:t>
      </w:r>
      <w:r>
        <w:rPr>
          <w:sz w:val="24"/>
        </w:rPr>
        <w:t>引入的</w:t>
      </w:r>
      <w:r>
        <w:rPr>
          <w:rFonts w:hint="eastAsia"/>
          <w:sz w:val="24"/>
        </w:rPr>
        <w:t>不确定度分量通过以下公式计算：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eastAsia="TimesNewRomanPSMT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Cs w:val="21"/>
                </w:rPr>
              </m:ctrlPr>
            </m:sSubPr>
            <m:e>
              <m:r>
                <m:rPr/>
                <w:rPr>
                  <w:rFonts w:ascii="Cambria Math" w:hAnsi="Cambria Math"/>
                  <w:color w:val="000000"/>
                  <w:szCs w:val="21"/>
                </w:rPr>
                <m:t>u</m:t>
              </m:r>
              <m:ctrlPr>
                <w:rPr>
                  <w:rFonts w:ascii="Cambria Math" w:hAnsi="Cambria Math"/>
                  <w:color w:val="000000"/>
                  <w:szCs w:val="21"/>
                </w:rPr>
              </m:ctrlPr>
            </m:e>
            <m:sub>
              <m:r>
                <m:rPr/>
                <w:rPr>
                  <w:rFonts w:ascii="Cambria Math" w:hAnsi="Cambria Math"/>
                  <w:color w:val="000000"/>
                  <w:szCs w:val="21"/>
                </w:rPr>
                <m:t>1</m:t>
              </m:r>
              <m:ctrlPr>
                <w:rPr>
                  <w:rFonts w:ascii="Cambria Math" w:hAnsi="Cambria Math"/>
                  <w:color w:val="000000"/>
                  <w:szCs w:val="21"/>
                </w:rPr>
              </m:ctrlPr>
            </m:sub>
          </m:sSub>
          <m:r>
            <m:rPr/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/>
                <w:rPr>
                  <w:rFonts w:ascii="Cambria Math" w:hAnsi="Cambria Math"/>
                </w:rPr>
                <m:t>d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m:rPr/>
                <w:rPr>
                  <w:rFonts w:ascii="Cambria Math"/>
                </w:rPr>
                <m:t>2</m:t>
              </m:r>
              <m:r>
                <m:rPr/>
                <w:rPr>
                  <w:rFonts w:ascii="Cambria Math" w:hAnsi="Cambria Math"/>
                </w:rPr>
                <m:t>×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ctrlPr>
                    <w:rPr>
                      <w:rFonts w:ascii="Cambria Math" w:hAnsi="Cambria Math"/>
                      <w:i/>
                    </w:rPr>
                  </m:ctrlPr>
                </m:deg>
                <m:e>
                  <m:r>
                    <m:rPr/>
                    <w:rPr>
                      <w:rFonts w:asci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rad>
              <m:ctrlPr>
                <w:rPr>
                  <w:rFonts w:ascii="Cambria Math" w:hAnsi="Cambria Math"/>
                  <w:i/>
                </w:rPr>
              </m:ctrlPr>
            </m:den>
          </m:f>
          <m:r>
            <m:rPr/>
            <w:rPr>
              <w:rFonts w:ascii="Cambria Math" w:hAnsi="Cambria Math"/>
            </w:rPr>
            <m:t>=0.028 nm</m:t>
          </m:r>
        </m:oMath>
      </m:oMathPara>
    </w:p>
    <w:p>
      <w:pPr>
        <w:autoSpaceDE w:val="0"/>
        <w:autoSpaceDN w:val="0"/>
        <w:adjustRightInd w:val="0"/>
        <w:spacing w:line="360" w:lineRule="auto"/>
        <w:jc w:val="left"/>
        <w:rPr>
          <w:rFonts w:eastAsia="TimesNewRomanPSMT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eastAsia="TimesNewRomanPSMT"/>
          <w:b/>
          <w:bCs/>
          <w:kern w:val="0"/>
          <w:sz w:val="24"/>
        </w:rPr>
      </w:pPr>
      <w:r>
        <w:rPr>
          <w:rFonts w:eastAsia="TimesNewRomanPSMT"/>
          <w:kern w:val="0"/>
          <w:sz w:val="24"/>
        </w:rPr>
        <w:t xml:space="preserve">4.2 </w:t>
      </w:r>
      <w:r>
        <w:rPr>
          <w:rFonts w:hint="eastAsia" w:eastAsiaTheme="minorEastAsia"/>
          <w:kern w:val="0"/>
          <w:sz w:val="24"/>
        </w:rPr>
        <w:t>测量</w:t>
      </w:r>
      <w:r>
        <w:rPr>
          <w:rFonts w:eastAsiaTheme="minorEastAsia"/>
          <w:kern w:val="0"/>
          <w:sz w:val="24"/>
        </w:rPr>
        <w:t>过程引入的不确定度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eastAsia="TimesNewRomanPSMT"/>
          <w:b/>
          <w:kern w:val="0"/>
          <w:sz w:val="24"/>
        </w:rPr>
      </w:pPr>
      <w:r>
        <w:rPr>
          <w:rFonts w:hint="eastAsia"/>
          <w:color w:val="000000"/>
          <w:sz w:val="24"/>
        </w:rPr>
        <w:t>仪器安装在清洁间内，温度、湿度保持</w:t>
      </w:r>
      <w:r>
        <w:rPr>
          <w:color w:val="000000"/>
          <w:sz w:val="24"/>
        </w:rPr>
        <w:t>恒定，</w:t>
      </w:r>
      <w:r>
        <w:rPr>
          <w:rFonts w:hint="eastAsia"/>
          <w:color w:val="000000"/>
          <w:sz w:val="24"/>
        </w:rPr>
        <w:t>温度</w:t>
      </w:r>
      <w:r>
        <w:rPr>
          <w:color w:val="000000"/>
          <w:sz w:val="24"/>
        </w:rPr>
        <w:t>、湿度</w:t>
      </w:r>
      <w:r>
        <w:rPr>
          <w:rFonts w:hint="eastAsia"/>
          <w:color w:val="000000"/>
          <w:sz w:val="24"/>
        </w:rPr>
        <w:t>和振动的影响可以忽略不计。根据测量数据评估不确定度。在测量一个氧化石墨烯薄片厚度时，应通过两次重复AFM测量（</w:t>
      </w:r>
      <w:r>
        <w:rPr>
          <w:rFonts w:hint="eastAsia"/>
          <w:i/>
          <w:color w:val="000000"/>
          <w:sz w:val="24"/>
        </w:rPr>
        <w:t>m</w:t>
      </w:r>
      <w:r>
        <w:rPr>
          <w:rFonts w:hint="eastAsia"/>
          <w:color w:val="000000"/>
          <w:sz w:val="24"/>
        </w:rPr>
        <w:t>=2）的六次单独分析（</w:t>
      </w:r>
      <w:r>
        <w:rPr>
          <w:rFonts w:hint="eastAsia"/>
          <w:i/>
          <w:color w:val="000000"/>
          <w:sz w:val="24"/>
        </w:rPr>
        <w:t>n</w:t>
      </w:r>
      <w:r>
        <w:rPr>
          <w:rFonts w:hint="eastAsia"/>
          <w:color w:val="000000"/>
          <w:sz w:val="24"/>
        </w:rPr>
        <w:t>=6）获得结果。表2为</w:t>
      </w:r>
      <w:r>
        <w:rPr>
          <w:color w:val="000000"/>
          <w:sz w:val="24"/>
        </w:rPr>
        <w:t>石墨烯</w:t>
      </w:r>
      <w:r>
        <w:rPr>
          <w:rFonts w:hint="eastAsia"/>
          <w:color w:val="000000"/>
          <w:sz w:val="24"/>
        </w:rPr>
        <w:t>厚度</w:t>
      </w:r>
      <w:r>
        <w:rPr>
          <w:color w:val="000000"/>
          <w:sz w:val="24"/>
        </w:rPr>
        <w:t>的测量结果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jc w:val="center"/>
        <w:rPr>
          <w:sz w:val="24"/>
        </w:rPr>
      </w:pPr>
    </w:p>
    <w:p>
      <w:pPr>
        <w:pStyle w:val="6"/>
        <w:keepNext/>
        <w:jc w:val="center"/>
      </w:pPr>
      <w:r>
        <w:rPr>
          <w:rFonts w:hint="eastAsia" w:ascii="黑体" w:hAnsi="黑体"/>
          <w:sz w:val="18"/>
          <w:szCs w:val="18"/>
        </w:rPr>
        <w:t>表2 石墨烯厚度</w:t>
      </w:r>
      <w:r>
        <w:rPr>
          <w:rFonts w:hint="eastAsia" w:ascii="Times New Roman" w:hAnsi="Times New Roman"/>
          <w:sz w:val="18"/>
          <w:szCs w:val="18"/>
        </w:rPr>
        <w:t>的测试结果</w:t>
      </w:r>
    </w:p>
    <w:tbl>
      <w:tblPr>
        <w:tblStyle w:val="1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9"/>
        <w:gridCol w:w="1785"/>
        <w:gridCol w:w="1521"/>
        <w:gridCol w:w="2891"/>
        <w:gridCol w:w="13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48"/>
              <w:spacing w:line="276" w:lineRule="auto"/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hint="eastAsia" w:ascii="Times New Roman"/>
                <w:szCs w:val="21"/>
              </w:rPr>
              <w:t>测量人员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48"/>
              <w:spacing w:line="276" w:lineRule="auto"/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hint="eastAsia" w:ascii="Times New Roman"/>
                <w:szCs w:val="21"/>
              </w:rPr>
              <w:t>测量次</w:t>
            </w:r>
            <w:r>
              <w:rPr>
                <w:rFonts w:ascii="Times New Roman"/>
                <w:szCs w:val="21"/>
              </w:rPr>
              <w:t>数</w:t>
            </w:r>
          </w:p>
        </w:tc>
        <w:tc>
          <w:tcPr>
            <w:tcW w:w="3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48"/>
              <w:spacing w:line="276" w:lineRule="auto"/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hint="eastAsia" w:ascii="Times New Roman"/>
                <w:szCs w:val="21"/>
              </w:rPr>
              <w:t>高度</w:t>
            </w:r>
            <w:r>
              <w:rPr>
                <w:rFonts w:ascii="Times New Roman"/>
                <w:szCs w:val="21"/>
              </w:rPr>
              <w:t>（</w:t>
            </w:r>
            <w:r>
              <w:rPr>
                <w:rFonts w:hint="eastAsia" w:ascii="Times New Roman"/>
                <w:szCs w:val="21"/>
              </w:rPr>
              <w:t>统计</w:t>
            </w:r>
            <w:r>
              <w:rPr>
                <w:rFonts w:ascii="Times New Roman"/>
                <w:szCs w:val="21"/>
              </w:rPr>
              <w:t>结果）</w:t>
            </w:r>
          </w:p>
        </w:tc>
        <w:tc>
          <w:tcPr>
            <w:tcW w:w="28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48"/>
              <w:spacing w:line="276" w:lineRule="auto"/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hint="eastAsia" w:ascii="Times New Roman"/>
                <w:szCs w:val="21"/>
              </w:rPr>
              <w:t>石墨烯</w:t>
            </w:r>
            <w:r>
              <w:rPr>
                <w:rFonts w:ascii="Times New Roman"/>
                <w:szCs w:val="21"/>
              </w:rPr>
              <w:t>厚度</w:t>
            </w:r>
          </w:p>
          <w:p>
            <w:pPr>
              <w:pStyle w:val="48"/>
              <w:spacing w:line="276" w:lineRule="auto"/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/>
                <w:szCs w:val="21"/>
              </w:rPr>
              <w:t>(nm）</w:t>
            </w:r>
          </w:p>
        </w:tc>
        <w:tc>
          <w:tcPr>
            <w:tcW w:w="13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48"/>
              <w:spacing w:line="276" w:lineRule="auto"/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hint="eastAsia" w:ascii="Times New Roman"/>
                <w:szCs w:val="21"/>
              </w:rPr>
              <w:t>平均值</w:t>
            </w:r>
          </w:p>
          <w:p>
            <w:pPr>
              <w:pStyle w:val="48"/>
              <w:spacing w:line="276" w:lineRule="auto"/>
              <w:ind w:firstLine="0" w:firstLineChars="0"/>
              <w:jc w:val="center"/>
              <w:rPr>
                <w:rFonts w:ascii="Times New Roman"/>
                <w:szCs w:val="21"/>
              </w:rPr>
            </w:pPr>
            <w:r>
              <w:rPr>
                <w:rFonts w:hint="eastAsia" w:ascii="Times New Roman"/>
                <w:szCs w:val="21"/>
              </w:rPr>
              <w:t>(</w:t>
            </w:r>
            <w:r>
              <w:rPr>
                <w:rFonts w:ascii="Times New Roman"/>
                <w:szCs w:val="21"/>
              </w:rPr>
              <w:t>nm)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样品</w:t>
            </w:r>
            <w:r>
              <w:rPr>
                <w:kern w:val="0"/>
                <w:szCs w:val="21"/>
              </w:rPr>
              <w:t>(nm)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基底</w:t>
            </w:r>
            <w:r>
              <w:rPr>
                <w:kern w:val="0"/>
                <w:szCs w:val="21"/>
              </w:rPr>
              <w:t>(nm)</w:t>
            </w:r>
          </w:p>
        </w:tc>
        <w:tc>
          <w:tcPr>
            <w:tcW w:w="28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1-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1.50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1.38</w:t>
            </w:r>
          </w:p>
        </w:tc>
        <w:tc>
          <w:tcPr>
            <w:tcW w:w="13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120"/>
              <w:jc w:val="center"/>
            </w:pPr>
            <w:r>
              <w:t>1.31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1-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1.38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1.30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1-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1.43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1.33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1-4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1.38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1.29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120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-5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1.40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1.27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1-6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1.41</w:t>
            </w: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0.09</w:t>
            </w:r>
          </w:p>
        </w:tc>
        <w:tc>
          <w:tcPr>
            <w:tcW w:w="2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1.32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1.30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1.27</w:t>
            </w:r>
          </w:p>
        </w:tc>
        <w:tc>
          <w:tcPr>
            <w:tcW w:w="13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120"/>
              <w:jc w:val="center"/>
            </w:pPr>
            <w:r>
              <w:t>1.27</w:t>
            </w:r>
          </w:p>
          <w:p>
            <w:pPr>
              <w:spacing w:before="120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1.32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0.04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1.28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1.31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0.04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1.27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2-4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1.30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1.28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120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2-5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1.29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1.26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2-6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1.33</w:t>
            </w:r>
          </w:p>
        </w:tc>
        <w:tc>
          <w:tcPr>
            <w:tcW w:w="1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0.05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t>1.29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83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</w:pPr>
            <w:r>
              <w:rPr>
                <w:rFonts w:hint="eastAsia" w:hAnsiTheme="minorEastAsia"/>
                <w:color w:val="000000"/>
                <w:kern w:val="0"/>
                <w:sz w:val="18"/>
                <w:szCs w:val="18"/>
              </w:rPr>
              <w:t>平均值（</w:t>
            </w:r>
            <w:r>
              <w:rPr>
                <w:color w:val="000000"/>
                <w:kern w:val="0"/>
                <w:sz w:val="18"/>
                <w:szCs w:val="18"/>
              </w:rPr>
              <w:t>nm</w:t>
            </w:r>
            <w:r>
              <w:rPr>
                <w:rFonts w:hint="eastAsia" w:hAnsiTheme="minor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</w:pPr>
            <w:r>
              <w:rPr>
                <w:rFonts w:hint="eastAsia"/>
              </w:rPr>
              <w:t>1</w:t>
            </w:r>
            <w:r>
              <w:t>.30</w:t>
            </w:r>
          </w:p>
        </w:tc>
        <w:tc>
          <w:tcPr>
            <w:tcW w:w="13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83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</w:pPr>
            <w:r>
              <w:rPr>
                <w:rFonts w:hint="eastAsia" w:hAnsiTheme="minorEastAsia"/>
                <w:color w:val="000000"/>
                <w:kern w:val="0"/>
                <w:sz w:val="18"/>
                <w:szCs w:val="18"/>
              </w:rPr>
              <w:t>标准</w:t>
            </w:r>
            <w:r>
              <w:rPr>
                <w:rFonts w:hAnsiTheme="minorEastAsia"/>
                <w:color w:val="000000"/>
                <w:kern w:val="0"/>
                <w:sz w:val="18"/>
                <w:szCs w:val="18"/>
              </w:rPr>
              <w:t>偏差</w:t>
            </w:r>
            <w:r>
              <w:rPr>
                <w:rFonts w:hint="eastAsia" w:hAnsiTheme="minor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kern w:val="0"/>
                <w:sz w:val="18"/>
                <w:szCs w:val="18"/>
              </w:rPr>
              <w:t>nm</w:t>
            </w:r>
            <w:r>
              <w:rPr>
                <w:rFonts w:hint="eastAsia" w:hAnsiTheme="minor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before="120"/>
              <w:jc w:val="center"/>
            </w:pPr>
            <w:r>
              <w:rPr>
                <w:rFonts w:hint="eastAsia"/>
              </w:rPr>
              <w:t>0</w:t>
            </w:r>
            <w:r>
              <w:t>.03</w:t>
            </w:r>
          </w:p>
        </w:tc>
        <w:tc>
          <w:tcPr>
            <w:tcW w:w="13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pacing w:line="360" w:lineRule="auto"/>
        <w:ind w:left="491" w:leftChars="234" w:firstLine="26" w:firstLineChars="11"/>
        <w:rPr>
          <w:rFonts w:eastAsia="TimesNewRomanPSMT"/>
          <w:kern w:val="0"/>
          <w:sz w:val="24"/>
        </w:rPr>
      </w:pPr>
    </w:p>
    <w:p>
      <w:pPr>
        <w:spacing w:line="360" w:lineRule="auto"/>
        <w:ind w:firstLine="360" w:firstLineChars="15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测量</w:t>
      </w:r>
      <w:r>
        <w:rPr>
          <w:color w:val="000000"/>
          <w:sz w:val="24"/>
        </w:rPr>
        <w:t>过程引入的不确定度通过下式</w:t>
      </w:r>
      <w:r>
        <w:rPr>
          <w:rFonts w:hint="eastAsia"/>
          <w:color w:val="000000"/>
          <w:sz w:val="24"/>
        </w:rPr>
        <w:t>计算</w:t>
      </w:r>
      <w:r>
        <w:rPr>
          <w:color w:val="000000"/>
          <w:sz w:val="24"/>
        </w:rPr>
        <w:t>得到</w:t>
      </w:r>
      <w:r>
        <w:rPr>
          <w:rFonts w:hint="eastAsia"/>
          <w:color w:val="000000"/>
          <w:sz w:val="24"/>
        </w:rPr>
        <w:t>：</w:t>
      </w:r>
    </w:p>
    <w:p>
      <w:pPr>
        <w:widowControl/>
        <w:rPr>
          <w:rFonts w:ascii="等线" w:hAnsi="等线" w:eastAsia="等线" w:cs="宋体"/>
          <w:color w:val="000000"/>
          <w:kern w:val="0"/>
          <w:sz w:val="22"/>
        </w:rPr>
      </w:pPr>
      <m:oMathPara>
        <m:oMath>
          <m:sSub>
            <m:sSubPr>
              <m:ctrlPr>
                <w:rPr>
                  <w:rFonts w:ascii="Cambria Math" w:hAnsi="Cambria Math" w:eastAsia="TimesNewRomanPSMT"/>
                  <w:kern w:val="0"/>
                  <w:sz w:val="24"/>
                </w:rPr>
              </m:ctrlPr>
            </m:sSubPr>
            <m:e>
              <m:r>
                <m:rPr/>
                <w:rPr>
                  <w:rFonts w:ascii="Cambria Math" w:hAnsi="Cambria Math" w:eastAsia="TimesNewRomanPSMT"/>
                  <w:kern w:val="0"/>
                  <w:sz w:val="24"/>
                </w:rPr>
                <m:t>u</m:t>
              </m:r>
              <m:ctrlPr>
                <w:rPr>
                  <w:rFonts w:ascii="Cambria Math" w:hAnsi="Cambria Math" w:eastAsia="TimesNewRomanPSMT"/>
                  <w:kern w:val="0"/>
                  <w:sz w:val="24"/>
                </w:rPr>
              </m:ctrlPr>
            </m:e>
            <m:sub>
              <m:r>
                <m:rPr/>
                <w:rPr>
                  <w:rFonts w:ascii="Cambria Math" w:hAnsi="Cambria Math" w:eastAsia="TimesNewRomanPSMT"/>
                  <w:kern w:val="0"/>
                  <w:sz w:val="24"/>
                </w:rPr>
                <m:t>2</m:t>
              </m:r>
              <m:ctrlPr>
                <w:rPr>
                  <w:rFonts w:ascii="Cambria Math" w:hAnsi="Cambria Math" w:eastAsia="TimesNewRomanPSMT"/>
                  <w:kern w:val="0"/>
                  <w:sz w:val="24"/>
                </w:rPr>
              </m:ctrlPr>
            </m:sub>
          </m:sSub>
          <m:r>
            <m:rPr/>
            <w:rPr>
              <w:rFonts w:ascii="Cambria Math" w:hAnsi="Cambria Math" w:eastAsia="TimesNewRomanPSMT"/>
              <w:kern w:val="0"/>
              <w:sz w:val="24"/>
            </w:rPr>
            <m:t>=s</m:t>
          </m:r>
          <m:d>
            <m:dPr>
              <m:ctrlPr>
                <w:rPr>
                  <w:rFonts w:ascii="Cambria Math" w:hAnsi="Cambria Math" w:eastAsia="TimesNewRomanPSMT"/>
                  <w:i/>
                  <w:kern w:val="0"/>
                  <w:sz w:val="24"/>
                </w:rPr>
              </m:ctrlPr>
            </m:dPr>
            <m:e>
              <m:r>
                <m:rPr/>
                <w:rPr>
                  <w:rFonts w:ascii="Cambria Math" w:hAnsi="Cambria Math" w:eastAsia="TimesNewRomanPSMT"/>
                  <w:kern w:val="0"/>
                  <w:sz w:val="24"/>
                </w:rPr>
                <m:t>x</m:t>
              </m:r>
              <m:ctrlPr>
                <w:rPr>
                  <w:rFonts w:ascii="Cambria Math" w:hAnsi="Cambria Math" w:eastAsia="TimesNewRomanPSMT"/>
                  <w:i/>
                  <w:kern w:val="0"/>
                  <w:sz w:val="24"/>
                </w:rPr>
              </m:ctrlPr>
            </m:e>
          </m:d>
          <m:r>
            <m:rPr/>
            <w:rPr>
              <w:rFonts w:ascii="Cambria Math" w:hAnsi="Cambria Math" w:eastAsia="TimesNewRomanPSMT"/>
              <w:kern w:val="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eastAsia="TimesNewRomanPSMT"/>
                  <w:i/>
                  <w:kern w:val="0"/>
                  <w:sz w:val="24"/>
                </w:rPr>
              </m:ctrlPr>
            </m:radPr>
            <m:deg>
              <m:ctrlPr>
                <w:rPr>
                  <w:rFonts w:ascii="Cambria Math" w:hAnsi="Cambria Math" w:eastAsia="TimesNewRomanPSMT"/>
                  <w:i/>
                  <w:kern w:val="0"/>
                  <w:sz w:val="24"/>
                </w:rPr>
              </m:ctrlPr>
            </m:deg>
            <m:e>
              <m:f>
                <m:fPr>
                  <m:ctrlPr>
                    <w:rPr>
                      <w:rFonts w:ascii="Cambria Math" w:hAnsi="Cambria Math" w:eastAsia="TimesNewRomanPSMT"/>
                      <w:i/>
                      <w:kern w:val="0"/>
                      <w:sz w:val="24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TimesNewRomanPSMT"/>
                      <w:kern w:val="0"/>
                      <w:sz w:val="24"/>
                    </w:rPr>
                    <m:t>1</m:t>
                  </m:r>
                  <m:ctrlPr>
                    <w:rPr>
                      <w:rFonts w:ascii="Cambria Math" w:hAnsi="Cambria Math" w:eastAsia="TimesNewRomanPSMT"/>
                      <w:i/>
                      <w:kern w:val="0"/>
                      <w:sz w:val="24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TimesNewRomanPSMT"/>
                      <w:kern w:val="0"/>
                      <w:sz w:val="24"/>
                    </w:rPr>
                    <m:t>m(n−1)</m:t>
                  </m:r>
                  <m:ctrlPr>
                    <w:rPr>
                      <w:rFonts w:ascii="Cambria Math" w:hAnsi="Cambria Math" w:eastAsia="TimesNewRomanPSMT"/>
                      <w:i/>
                      <w:kern w:val="0"/>
                      <w:sz w:val="24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 w:eastAsia="TimesNewRomanPSMT"/>
                      <w:i/>
                      <w:kern w:val="0"/>
                      <w:sz w:val="24"/>
                    </w:rPr>
                  </m:ctrlPr>
                </m:naryPr>
                <m:sub>
                  <m:r>
                    <m:rPr/>
                    <w:rPr>
                      <w:rFonts w:ascii="Cambria Math" w:hAnsi="Cambria Math" w:eastAsia="TimesNewRomanPSMT"/>
                      <w:kern w:val="0"/>
                      <w:sz w:val="24"/>
                    </w:rPr>
                    <m:t>i=1</m:t>
                  </m:r>
                  <m:ctrlPr>
                    <w:rPr>
                      <w:rFonts w:ascii="Cambria Math" w:hAnsi="Cambria Math" w:eastAsia="TimesNewRomanPSMT"/>
                      <w:i/>
                      <w:kern w:val="0"/>
                      <w:sz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 w:eastAsia="TimesNewRomanPSMT"/>
                      <w:kern w:val="0"/>
                      <w:sz w:val="24"/>
                    </w:rPr>
                    <m:t>m</m:t>
                  </m:r>
                  <m:ctrlPr>
                    <w:rPr>
                      <w:rFonts w:ascii="Cambria Math" w:hAnsi="Cambria Math" w:eastAsia="TimesNewRomanPSMT"/>
                      <w:i/>
                      <w:kern w:val="0"/>
                      <w:sz w:val="24"/>
                    </w:rPr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eastAsia="TimesNewRomanPSMT"/>
                          <w:i/>
                          <w:kern w:val="0"/>
                          <w:sz w:val="24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 w:eastAsia="TimesNewRomanPSMT"/>
                          <w:kern w:val="0"/>
                          <w:sz w:val="24"/>
                        </w:rPr>
                        <m:t>j=1</m:t>
                      </m:r>
                      <m:ctrlPr>
                        <w:rPr>
                          <w:rFonts w:ascii="Cambria Math" w:hAnsi="Cambria Math" w:eastAsia="TimesNewRomanPSMT"/>
                          <w:i/>
                          <w:kern w:val="0"/>
                          <w:sz w:val="24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 w:eastAsia="TimesNewRomanPSMT"/>
                          <w:kern w:val="0"/>
                          <w:sz w:val="24"/>
                        </w:rPr>
                        <m:t>n</m:t>
                      </m:r>
                      <m:ctrlPr>
                        <w:rPr>
                          <w:rFonts w:ascii="Cambria Math" w:hAnsi="Cambria Math" w:eastAsia="TimesNewRomanPSMT"/>
                          <w:i/>
                          <w:kern w:val="0"/>
                          <w:sz w:val="24"/>
                        </w:rPr>
                      </m:ctrlP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eastAsia="TimesNewRomanPSMT"/>
                              <w:i/>
                              <w:kern w:val="0"/>
                              <w:sz w:val="24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TimesNewRomanPSMT"/>
                              <w:kern w:val="0"/>
                              <w:sz w:val="24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eastAsia="TimesNewRomanPSMT"/>
                                  <w:i/>
                                  <w:kern w:val="0"/>
                                  <w:sz w:val="24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 w:eastAsia="TimesNewRomanPSMT"/>
                                  <w:kern w:val="0"/>
                                  <w:sz w:val="24"/>
                                </w:rPr>
                                <m:t>x</m:t>
                              </m:r>
                              <m:ctrlPr>
                                <w:rPr>
                                  <w:rFonts w:ascii="Cambria Math" w:hAnsi="Cambria Math" w:eastAsia="TimesNewRomanPSMT"/>
                                  <w:i/>
                                  <w:kern w:val="0"/>
                                  <w:sz w:val="24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TimesNewRomanPSMT"/>
                                  <w:kern w:val="0"/>
                                  <w:sz w:val="24"/>
                                </w:rPr>
                                <m:t>ij</m:t>
                              </m:r>
                              <m:ctrlPr>
                                <w:rPr>
                                  <w:rFonts w:ascii="Cambria Math" w:hAnsi="Cambria Math" w:eastAsia="TimesNewRomanPSMT"/>
                                  <w:i/>
                                  <w:kern w:val="0"/>
                                  <w:sz w:val="24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Cambria Math" w:eastAsia="TimesNewRomanPSMT"/>
                              <w:kern w:val="0"/>
                              <w:sz w:val="24"/>
                            </w:rPr>
                            <m:t>−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eastAsia="TimesNewRomanPSMT"/>
                                  <w:i/>
                                  <w:kern w:val="0"/>
                                  <w:sz w:val="24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 w:eastAsia="TimesNewRomanPSMT"/>
                                      <w:i/>
                                      <w:kern w:val="0"/>
                                      <w:sz w:val="24"/>
                                    </w:rPr>
                                  </m:ctrlPr>
                                </m:accPr>
                                <m:e>
                                  <m:r>
                                    <m:rPr/>
                                    <w:rPr>
                                      <w:rFonts w:ascii="Cambria Math" w:hAnsi="Cambria Math" w:eastAsia="TimesNewRomanPSMT"/>
                                      <w:kern w:val="0"/>
                                      <w:sz w:val="24"/>
                                    </w:rPr>
                                    <m:t>x</m:t>
                                  </m:r>
                                  <m:ctrlPr>
                                    <w:rPr>
                                      <w:rFonts w:ascii="Cambria Math" w:hAnsi="Cambria Math" w:eastAsia="TimesNewRomanPSMT"/>
                                      <w:i/>
                                      <w:kern w:val="0"/>
                                      <w:sz w:val="24"/>
                                    </w:rPr>
                                  </m:ctrlPr>
                                </m:e>
                              </m:acc>
                              <m:ctrlPr>
                                <w:rPr>
                                  <w:rFonts w:ascii="Cambria Math" w:hAnsi="Cambria Math" w:eastAsia="TimesNewRomanPSMT"/>
                                  <w:i/>
                                  <w:kern w:val="0"/>
                                  <w:sz w:val="24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TimesNewRomanPSMT"/>
                                  <w:kern w:val="0"/>
                                  <w:sz w:val="24"/>
                                </w:rPr>
                                <m:t>i</m:t>
                              </m:r>
                              <m:ctrlPr>
                                <w:rPr>
                                  <w:rFonts w:ascii="Cambria Math" w:hAnsi="Cambria Math" w:eastAsia="TimesNewRomanPSMT"/>
                                  <w:i/>
                                  <w:kern w:val="0"/>
                                  <w:sz w:val="24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ascii="Cambria Math" w:hAnsi="Cambria Math" w:eastAsia="TimesNewRomanPSMT"/>
                              <w:kern w:val="0"/>
                              <w:sz w:val="24"/>
                            </w:rPr>
                            <m:t>)</m:t>
                          </m:r>
                          <m:ctrlPr>
                            <w:rPr>
                              <w:rFonts w:ascii="Cambria Math" w:hAnsi="Cambria Math" w:eastAsia="TimesNewRomanPSMT"/>
                              <w:i/>
                              <w:kern w:val="0"/>
                              <w:sz w:val="24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TimesNewRomanPSMT"/>
                              <w:kern w:val="0"/>
                              <w:sz w:val="24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TimesNewRomanPSMT"/>
                              <w:i/>
                              <w:kern w:val="0"/>
                              <w:sz w:val="24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 w:eastAsia="TimesNewRomanPSMT"/>
                          <w:i/>
                          <w:kern w:val="0"/>
                          <w:sz w:val="24"/>
                        </w:rPr>
                      </m:ctrlPr>
                    </m:e>
                  </m:nary>
                  <m:ctrlPr>
                    <w:rPr>
                      <w:rFonts w:ascii="Cambria Math" w:hAnsi="Cambria Math" w:eastAsia="TimesNewRomanPSMT"/>
                      <w:i/>
                      <w:kern w:val="0"/>
                      <w:sz w:val="24"/>
                    </w:rPr>
                  </m:ctrlPr>
                </m:e>
              </m:nary>
              <m:ctrlPr>
                <w:rPr>
                  <w:rFonts w:ascii="Cambria Math" w:hAnsi="Cambria Math" w:eastAsia="TimesNewRomanPSMT"/>
                  <w:i/>
                  <w:kern w:val="0"/>
                  <w:sz w:val="24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TimesNewRomanPSMT"/>
              <w:kern w:val="0"/>
              <w:sz w:val="24"/>
            </w:rPr>
            <m:t>=</m:t>
          </m:r>
          <m:r>
            <m:rPr>
              <m:sty m:val="p"/>
            </m:rPr>
            <w:rPr>
              <w:rFonts w:hint="eastAsia" w:ascii="Cambria Math" w:hAnsi="Cambria Math" w:eastAsia="等线" w:cs="宋体"/>
              <w:color w:val="000000"/>
              <w:kern w:val="0"/>
              <w:sz w:val="22"/>
            </w:rPr>
            <m:t>0.0</m:t>
          </m:r>
          <m:r>
            <m:rPr>
              <m:sty m:val="p"/>
            </m:rPr>
            <w:rPr>
              <w:rFonts w:ascii="Cambria Math" w:hAnsi="Cambria Math" w:eastAsia="等线" w:cs="宋体"/>
              <w:color w:val="000000"/>
              <w:kern w:val="0"/>
              <w:sz w:val="22"/>
            </w:rPr>
            <m:t>29 nm</m:t>
          </m:r>
        </m:oMath>
      </m:oMathPara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因此，</w:t>
      </w:r>
      <w:r>
        <w:rPr>
          <w:sz w:val="24"/>
        </w:rPr>
        <w:t>合成不确定度为：</w:t>
      </w:r>
    </w:p>
    <w:p>
      <w:pPr>
        <w:spacing w:line="360" w:lineRule="auto"/>
        <w:ind w:firstLine="480" w:firstLineChars="20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m:rPr/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sz w:val="24"/>
                </w:rPr>
              </m:ctrlPr>
            </m:e>
            <m:sub>
              <m:r>
                <m:rPr/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m:rPr/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4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4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sz w:val="24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bSup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</w:rPr>
                    <m:t>0.028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p>
              <m:r>
                <m:rPr/>
                <w:rPr>
                  <w:rFonts w:ascii="Cambria Math" w:hAns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</w:rPr>
                    <m:t>0.029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up>
              </m:sSup>
              <m:ctrlPr>
                <w:rPr>
                  <w:rFonts w:ascii="Cambria Math" w:hAnsi="Cambria Math"/>
                  <w:i/>
                  <w:sz w:val="24"/>
                </w:rPr>
              </m:ctrlPr>
            </m:e>
          </m:rad>
          <m:r>
            <m:rPr/>
            <w:rPr>
              <w:rFonts w:ascii="Cambria Math" w:hAnsi="Cambria Math"/>
              <w:sz w:val="24"/>
            </w:rPr>
            <m:t>=0.04 nm</m:t>
          </m:r>
        </m:oMath>
      </m:oMathPara>
    </w:p>
    <w:p>
      <w:pPr>
        <w:spacing w:line="360" w:lineRule="auto"/>
        <w:ind w:firstLine="360" w:firstLineChars="150"/>
        <w:rPr>
          <w:color w:val="000000"/>
          <w:sz w:val="24"/>
        </w:rPr>
      </w:pPr>
      <w:r>
        <w:rPr>
          <w:rFonts w:hint="eastAsia"/>
          <w:sz w:val="24"/>
        </w:rPr>
        <w:t>取包含因子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=2，</w:t>
      </w:r>
      <w:r>
        <w:rPr>
          <w:sz w:val="24"/>
        </w:rPr>
        <w:t>扩展不确定度为：</w:t>
      </w:r>
      <w:r>
        <w:rPr>
          <w:rFonts w:hint="eastAsia"/>
          <w:color w:val="000000"/>
          <w:sz w:val="24"/>
        </w:rPr>
        <w:t xml:space="preserve"> </w:t>
      </w:r>
    </w:p>
    <w:p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i/>
          <w:sz w:val="24"/>
        </w:rPr>
        <w:t>U</w:t>
      </w:r>
      <w:r>
        <w:rPr>
          <w:rFonts w:hint="eastAsia"/>
          <w:sz w:val="24"/>
        </w:rPr>
        <w:t xml:space="preserve"> = </w:t>
      </w:r>
      <w:r>
        <w:rPr>
          <w:rFonts w:hint="eastAsia"/>
          <w:i/>
          <w:sz w:val="24"/>
        </w:rPr>
        <w:t>k</w:t>
      </w:r>
      <w:r>
        <w:rPr>
          <w:sz w:val="24"/>
        </w:rPr>
        <w:t>·</w:t>
      </w:r>
      <w:r>
        <w:rPr>
          <w:rFonts w:hint="eastAsia"/>
          <w:i/>
          <w:sz w:val="24"/>
        </w:rPr>
        <w:t>u</w:t>
      </w:r>
      <w:r>
        <w:rPr>
          <w:rFonts w:hint="eastAsia"/>
          <w:sz w:val="24"/>
          <w:vertAlign w:val="subscript"/>
        </w:rPr>
        <w:t>c</w:t>
      </w:r>
      <w:r>
        <w:rPr>
          <w:rFonts w:hint="eastAsia"/>
          <w:color w:val="000000"/>
          <w:sz w:val="24"/>
        </w:rPr>
        <w:t>= 2</w:t>
      </w:r>
      <w:r>
        <w:rPr>
          <w:rFonts w:hint="eastAsia" w:ascii="宋体" w:hAnsi="宋体"/>
          <w:color w:val="000000"/>
          <w:sz w:val="24"/>
        </w:rPr>
        <w:t>×</w:t>
      </w:r>
      <w:r>
        <w:rPr>
          <w:rFonts w:hint="eastAsia"/>
          <w:color w:val="000000"/>
          <w:sz w:val="24"/>
        </w:rPr>
        <w:t>0.0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 xml:space="preserve"> = 0.</w:t>
      </w:r>
      <w:r>
        <w:rPr>
          <w:color w:val="000000"/>
          <w:sz w:val="24"/>
        </w:rPr>
        <w:t xml:space="preserve">08 </w:t>
      </w:r>
      <w:r>
        <w:rPr>
          <w:rFonts w:hint="eastAsia"/>
          <w:color w:val="000000"/>
          <w:sz w:val="24"/>
        </w:rPr>
        <w:t>nm</w:t>
      </w:r>
    </w:p>
    <w:sectPr>
      <w:footerReference r:id="rId3" w:type="default"/>
      <w:pgSz w:w="11906" w:h="16838"/>
      <w:pgMar w:top="1769" w:right="1531" w:bottom="1440" w:left="1531" w:header="1157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CACFI+Arial,Bold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464501"/>
      <w:docPartObj>
        <w:docPartGallery w:val="AutoText"/>
      </w:docPartObj>
    </w:sdtPr>
    <w:sdtContent>
      <w:p>
        <w:pPr>
          <w:pStyle w:val="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70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DBF04F4"/>
    <w:multiLevelType w:val="multilevel"/>
    <w:tmpl w:val="6DBF04F4"/>
    <w:lvl w:ilvl="0" w:tentative="0">
      <w:start w:val="1"/>
      <w:numFmt w:val="none"/>
      <w:pStyle w:val="7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ZkMzRkNGIzZTI3NjY2ODY1OTljZGZkMzViNGQ1MjUifQ=="/>
  </w:docVars>
  <w:rsids>
    <w:rsidRoot w:val="00C54188"/>
    <w:rsid w:val="0001297C"/>
    <w:rsid w:val="000254D7"/>
    <w:rsid w:val="0004376C"/>
    <w:rsid w:val="000512A5"/>
    <w:rsid w:val="000919DC"/>
    <w:rsid w:val="000C374E"/>
    <w:rsid w:val="000C4665"/>
    <w:rsid w:val="0013509A"/>
    <w:rsid w:val="001A3E60"/>
    <w:rsid w:val="001E55E9"/>
    <w:rsid w:val="00231060"/>
    <w:rsid w:val="002368EC"/>
    <w:rsid w:val="002959BD"/>
    <w:rsid w:val="002C529C"/>
    <w:rsid w:val="002F5426"/>
    <w:rsid w:val="00300408"/>
    <w:rsid w:val="00324096"/>
    <w:rsid w:val="0032654C"/>
    <w:rsid w:val="00356A9C"/>
    <w:rsid w:val="003D01A9"/>
    <w:rsid w:val="003F1535"/>
    <w:rsid w:val="00414779"/>
    <w:rsid w:val="00463A56"/>
    <w:rsid w:val="00480245"/>
    <w:rsid w:val="004B6536"/>
    <w:rsid w:val="004E4F0F"/>
    <w:rsid w:val="004F628E"/>
    <w:rsid w:val="004F7C79"/>
    <w:rsid w:val="005059FC"/>
    <w:rsid w:val="00506EF1"/>
    <w:rsid w:val="005A7C7D"/>
    <w:rsid w:val="005B4176"/>
    <w:rsid w:val="005D3064"/>
    <w:rsid w:val="00610D3D"/>
    <w:rsid w:val="00655A0E"/>
    <w:rsid w:val="00681B3F"/>
    <w:rsid w:val="00725FC0"/>
    <w:rsid w:val="00787988"/>
    <w:rsid w:val="007A6024"/>
    <w:rsid w:val="007E7824"/>
    <w:rsid w:val="007F17C8"/>
    <w:rsid w:val="00803BB1"/>
    <w:rsid w:val="008041C0"/>
    <w:rsid w:val="00855178"/>
    <w:rsid w:val="0086446C"/>
    <w:rsid w:val="0087059E"/>
    <w:rsid w:val="008C3ADE"/>
    <w:rsid w:val="00924732"/>
    <w:rsid w:val="0094060E"/>
    <w:rsid w:val="00961FE2"/>
    <w:rsid w:val="00993821"/>
    <w:rsid w:val="009C7A44"/>
    <w:rsid w:val="00A2112A"/>
    <w:rsid w:val="00A865F0"/>
    <w:rsid w:val="00AB3683"/>
    <w:rsid w:val="00B3433B"/>
    <w:rsid w:val="00B5547C"/>
    <w:rsid w:val="00B957EF"/>
    <w:rsid w:val="00BA7A81"/>
    <w:rsid w:val="00C35BD0"/>
    <w:rsid w:val="00C54188"/>
    <w:rsid w:val="00C64815"/>
    <w:rsid w:val="00C677B7"/>
    <w:rsid w:val="00C903BB"/>
    <w:rsid w:val="00CA1E6A"/>
    <w:rsid w:val="00CE45A4"/>
    <w:rsid w:val="00DA6D7A"/>
    <w:rsid w:val="00E63387"/>
    <w:rsid w:val="00E854D3"/>
    <w:rsid w:val="00ED5988"/>
    <w:rsid w:val="00F60D1A"/>
    <w:rsid w:val="00F63275"/>
    <w:rsid w:val="00F86ABE"/>
    <w:rsid w:val="00F93305"/>
    <w:rsid w:val="00FB566D"/>
    <w:rsid w:val="4651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iPriority="39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semiHidden="0" w:name="annotation text"/>
    <w:lsdException w:uiPriority="0" w:semiHidden="0" w:name="header"/>
    <w:lsdException w:uiPriority="0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120" w:after="120" w:line="360" w:lineRule="auto"/>
      <w:outlineLvl w:val="0"/>
    </w:pPr>
    <w:rPr>
      <w:rFonts w:eastAsia="黑体"/>
      <w:b/>
      <w:kern w:val="44"/>
      <w:sz w:val="24"/>
      <w:szCs w:val="20"/>
    </w:rPr>
  </w:style>
  <w:style w:type="paragraph" w:styleId="3">
    <w:name w:val="heading 2"/>
    <w:basedOn w:val="1"/>
    <w:next w:val="1"/>
    <w:link w:val="2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qFormat/>
    <w:uiPriority w:val="0"/>
    <w:pPr>
      <w:keepNext/>
      <w:keepLines/>
      <w:spacing w:line="360" w:lineRule="auto"/>
      <w:outlineLvl w:val="2"/>
    </w:pPr>
    <w:rPr>
      <w:bCs/>
      <w:sz w:val="24"/>
      <w:szCs w:val="32"/>
    </w:rPr>
  </w:style>
  <w:style w:type="paragraph" w:styleId="5">
    <w:name w:val="heading 5"/>
    <w:basedOn w:val="1"/>
    <w:next w:val="1"/>
    <w:link w:val="30"/>
    <w:qFormat/>
    <w:uiPriority w:val="0"/>
    <w:pPr>
      <w:keepNext/>
      <w:ind w:firstLine="3360" w:firstLineChars="400"/>
      <w:outlineLvl w:val="4"/>
    </w:pPr>
    <w:rPr>
      <w:rFonts w:ascii="宋体" w:hAnsi="宋体"/>
      <w:bCs/>
      <w:shadow/>
      <w:color w:val="000000"/>
      <w:sz w:val="84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99"/>
    <w:rPr>
      <w:rFonts w:ascii="Calibri Light" w:hAnsi="Calibri Light" w:eastAsia="黑体"/>
      <w:sz w:val="20"/>
      <w:szCs w:val="20"/>
    </w:rPr>
  </w:style>
  <w:style w:type="paragraph" w:styleId="7">
    <w:name w:val="Document Map"/>
    <w:basedOn w:val="1"/>
    <w:link w:val="59"/>
    <w:semiHidden/>
    <w:uiPriority w:val="0"/>
    <w:pPr>
      <w:shd w:val="clear" w:color="auto" w:fill="000080"/>
    </w:pPr>
  </w:style>
  <w:style w:type="paragraph" w:styleId="8">
    <w:name w:val="annotation text"/>
    <w:basedOn w:val="1"/>
    <w:link w:val="35"/>
    <w:unhideWhenUsed/>
    <w:uiPriority w:val="0"/>
    <w:pPr>
      <w:jc w:val="left"/>
    </w:pPr>
  </w:style>
  <w:style w:type="paragraph" w:styleId="9">
    <w:name w:val="Body Text Indent"/>
    <w:basedOn w:val="1"/>
    <w:link w:val="56"/>
    <w:uiPriority w:val="0"/>
    <w:pPr>
      <w:spacing w:line="360" w:lineRule="auto"/>
      <w:ind w:firstLine="480"/>
    </w:pPr>
    <w:rPr>
      <w:sz w:val="24"/>
    </w:rPr>
  </w:style>
  <w:style w:type="paragraph" w:styleId="10">
    <w:name w:val="toc 3"/>
    <w:basedOn w:val="1"/>
    <w:next w:val="1"/>
    <w:qFormat/>
    <w:uiPriority w:val="39"/>
    <w:pPr>
      <w:tabs>
        <w:tab w:val="right" w:leader="dot" w:pos="8834"/>
      </w:tabs>
      <w:spacing w:line="360" w:lineRule="auto"/>
      <w:ind w:left="840" w:leftChars="400"/>
    </w:pPr>
  </w:style>
  <w:style w:type="paragraph" w:styleId="11">
    <w:name w:val="Plain Text"/>
    <w:basedOn w:val="1"/>
    <w:link w:val="51"/>
    <w:uiPriority w:val="0"/>
    <w:rPr>
      <w:rFonts w:ascii="宋体" w:hAnsi="Courier New" w:cs="Courier New"/>
      <w:szCs w:val="21"/>
    </w:rPr>
  </w:style>
  <w:style w:type="paragraph" w:styleId="12">
    <w:name w:val="Date"/>
    <w:basedOn w:val="1"/>
    <w:next w:val="1"/>
    <w:link w:val="52"/>
    <w:uiPriority w:val="0"/>
    <w:pPr>
      <w:ind w:left="100" w:leftChars="2500"/>
    </w:pPr>
  </w:style>
  <w:style w:type="paragraph" w:styleId="13">
    <w:name w:val="Balloon Text"/>
    <w:basedOn w:val="1"/>
    <w:link w:val="37"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iPriority w:val="39"/>
    <w:pPr>
      <w:tabs>
        <w:tab w:val="right" w:leader="dot" w:pos="8834"/>
      </w:tabs>
      <w:spacing w:line="360" w:lineRule="auto"/>
    </w:pPr>
  </w:style>
  <w:style w:type="paragraph" w:styleId="17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8">
    <w:name w:val="annotation subject"/>
    <w:basedOn w:val="8"/>
    <w:next w:val="8"/>
    <w:link w:val="36"/>
    <w:uiPriority w:val="0"/>
    <w:rPr>
      <w:b/>
      <w:bCs/>
    </w:rPr>
  </w:style>
  <w:style w:type="table" w:styleId="20">
    <w:name w:val="Table Grid"/>
    <w:basedOn w:val="19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uiPriority w:val="0"/>
  </w:style>
  <w:style w:type="character" w:styleId="23">
    <w:name w:val="FollowedHyperlink"/>
    <w:uiPriority w:val="0"/>
    <w:rPr>
      <w:color w:val="800080"/>
      <w:u w:val="single"/>
    </w:rPr>
  </w:style>
  <w:style w:type="character" w:styleId="24">
    <w:name w:val="Emphasis"/>
    <w:qFormat/>
    <w:uiPriority w:val="0"/>
    <w:rPr>
      <w:color w:val="CC0033"/>
    </w:rPr>
  </w:style>
  <w:style w:type="character" w:styleId="25">
    <w:name w:val="Hyperlink"/>
    <w:uiPriority w:val="99"/>
    <w:rPr>
      <w:color w:val="0000FF"/>
      <w:u w:val="single"/>
    </w:rPr>
  </w:style>
  <w:style w:type="character" w:styleId="26">
    <w:name w:val="annotation reference"/>
    <w:uiPriority w:val="0"/>
    <w:rPr>
      <w:sz w:val="21"/>
      <w:szCs w:val="21"/>
    </w:rPr>
  </w:style>
  <w:style w:type="character" w:customStyle="1" w:styleId="27">
    <w:name w:val="标题 1 Char"/>
    <w:basedOn w:val="21"/>
    <w:link w:val="2"/>
    <w:uiPriority w:val="0"/>
    <w:rPr>
      <w:rFonts w:ascii="Times New Roman" w:hAnsi="Times New Roman" w:eastAsia="黑体" w:cs="Times New Roman"/>
      <w:b/>
      <w:kern w:val="44"/>
      <w:sz w:val="24"/>
      <w:szCs w:val="20"/>
    </w:rPr>
  </w:style>
  <w:style w:type="character" w:customStyle="1" w:styleId="28">
    <w:name w:val="标题 2 Char"/>
    <w:basedOn w:val="21"/>
    <w:link w:val="3"/>
    <w:semiHidden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9">
    <w:name w:val="标题 3 Char"/>
    <w:basedOn w:val="21"/>
    <w:link w:val="4"/>
    <w:uiPriority w:val="0"/>
    <w:rPr>
      <w:rFonts w:ascii="Times New Roman" w:hAnsi="Times New Roman" w:eastAsia="宋体" w:cs="Times New Roman"/>
      <w:bCs/>
      <w:sz w:val="24"/>
      <w:szCs w:val="32"/>
    </w:rPr>
  </w:style>
  <w:style w:type="character" w:customStyle="1" w:styleId="30">
    <w:name w:val="标题 5 Char"/>
    <w:basedOn w:val="21"/>
    <w:link w:val="5"/>
    <w:uiPriority w:val="0"/>
    <w:rPr>
      <w:rFonts w:ascii="宋体" w:hAnsi="宋体" w:eastAsia="宋体" w:cs="Times New Roman"/>
      <w:bCs/>
      <w:shadow/>
      <w:color w:val="000000"/>
      <w:sz w:val="84"/>
      <w:szCs w:val="24"/>
    </w:rPr>
  </w:style>
  <w:style w:type="paragraph" w:styleId="3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2">
    <w:name w:val="页眉 Char"/>
    <w:basedOn w:val="21"/>
    <w:link w:val="1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3">
    <w:name w:val="页脚 Char"/>
    <w:basedOn w:val="21"/>
    <w:link w:val="1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text-161"/>
    <w:uiPriority w:val="0"/>
    <w:rPr>
      <w:b/>
      <w:bCs/>
      <w:color w:val="CC3300"/>
      <w:sz w:val="38"/>
      <w:szCs w:val="38"/>
    </w:rPr>
  </w:style>
  <w:style w:type="character" w:customStyle="1" w:styleId="35">
    <w:name w:val="批注文字 Char"/>
    <w:basedOn w:val="21"/>
    <w:link w:val="8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36">
    <w:name w:val="批注主题 Char"/>
    <w:basedOn w:val="35"/>
    <w:link w:val="18"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37">
    <w:name w:val="批注框文本 Char"/>
    <w:basedOn w:val="21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8">
    <w:name w:val="章标题"/>
    <w:next w:val="1"/>
    <w:uiPriority w:val="0"/>
    <w:pPr>
      <w:spacing w:beforeLines="50" w:afterLines="50"/>
      <w:ind w:left="36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39">
    <w:name w:val="CM14"/>
    <w:basedOn w:val="40"/>
    <w:next w:val="40"/>
    <w:uiPriority w:val="0"/>
    <w:pPr>
      <w:spacing w:after="238"/>
    </w:pPr>
    <w:rPr>
      <w:rFonts w:cs="Times New Roman"/>
      <w:color w:val="auto"/>
    </w:rPr>
  </w:style>
  <w:style w:type="paragraph" w:customStyle="1" w:styleId="40">
    <w:name w:val="Default"/>
    <w:uiPriority w:val="0"/>
    <w:pPr>
      <w:widowControl w:val="0"/>
      <w:autoSpaceDE w:val="0"/>
      <w:autoSpaceDN w:val="0"/>
      <w:adjustRightInd w:val="0"/>
    </w:pPr>
    <w:rPr>
      <w:rFonts w:ascii="ECACFI+Arial,Bold" w:hAnsi="Times New Roman" w:eastAsia="ECACFI+Arial,Bold" w:cs="ECACFI+Arial,Bold"/>
      <w:color w:val="000000"/>
      <w:kern w:val="0"/>
      <w:sz w:val="24"/>
      <w:szCs w:val="24"/>
      <w:lang w:val="en-US" w:eastAsia="zh-CN" w:bidi="ar-SA"/>
    </w:rPr>
  </w:style>
  <w:style w:type="paragraph" w:customStyle="1" w:styleId="41">
    <w:name w:val="CM13"/>
    <w:basedOn w:val="40"/>
    <w:next w:val="40"/>
    <w:uiPriority w:val="0"/>
    <w:pPr>
      <w:spacing w:line="238" w:lineRule="atLeast"/>
    </w:pPr>
    <w:rPr>
      <w:rFonts w:cs="Times New Roman"/>
      <w:color w:val="auto"/>
    </w:rPr>
  </w:style>
  <w:style w:type="paragraph" w:customStyle="1" w:styleId="42">
    <w:name w:val="三级条标题"/>
    <w:basedOn w:val="43"/>
    <w:next w:val="1"/>
    <w:uiPriority w:val="0"/>
    <w:pPr>
      <w:outlineLvl w:val="4"/>
    </w:pPr>
  </w:style>
  <w:style w:type="paragraph" w:customStyle="1" w:styleId="43">
    <w:name w:val="二级条标题"/>
    <w:basedOn w:val="44"/>
    <w:next w:val="1"/>
    <w:uiPriority w:val="0"/>
    <w:pPr>
      <w:ind w:left="0"/>
      <w:jc w:val="left"/>
      <w:outlineLvl w:val="3"/>
    </w:pPr>
    <w:rPr>
      <w:sz w:val="24"/>
    </w:rPr>
  </w:style>
  <w:style w:type="paragraph" w:customStyle="1" w:styleId="44">
    <w:name w:val="一级条标题"/>
    <w:basedOn w:val="38"/>
    <w:next w:val="1"/>
    <w:uiPriority w:val="0"/>
    <w:pPr>
      <w:spacing w:beforeLines="0" w:afterLines="0"/>
      <w:ind w:left="540"/>
      <w:outlineLvl w:val="2"/>
    </w:pPr>
  </w:style>
  <w:style w:type="paragraph" w:customStyle="1" w:styleId="45">
    <w:name w:val="CM15"/>
    <w:basedOn w:val="40"/>
    <w:next w:val="40"/>
    <w:uiPriority w:val="0"/>
    <w:pPr>
      <w:spacing w:after="480"/>
    </w:pPr>
    <w:rPr>
      <w:rFonts w:cs="Times New Roman"/>
      <w:color w:val="auto"/>
    </w:rPr>
  </w:style>
  <w:style w:type="paragraph" w:customStyle="1" w:styleId="46">
    <w:name w:val="四级条标题"/>
    <w:basedOn w:val="42"/>
    <w:next w:val="1"/>
    <w:uiPriority w:val="0"/>
    <w:pPr>
      <w:outlineLvl w:val="5"/>
    </w:pPr>
  </w:style>
  <w:style w:type="paragraph" w:customStyle="1" w:styleId="47">
    <w:name w:val="CM2"/>
    <w:basedOn w:val="40"/>
    <w:next w:val="40"/>
    <w:uiPriority w:val="0"/>
    <w:pPr>
      <w:spacing w:line="238" w:lineRule="atLeast"/>
    </w:pPr>
    <w:rPr>
      <w:rFonts w:cs="Times New Roman"/>
      <w:color w:val="auto"/>
    </w:rPr>
  </w:style>
  <w:style w:type="paragraph" w:customStyle="1" w:styleId="48">
    <w:name w:val="段"/>
    <w:link w:val="76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49">
    <w:name w:val="CM5"/>
    <w:basedOn w:val="40"/>
    <w:next w:val="40"/>
    <w:uiPriority w:val="0"/>
    <w:pPr>
      <w:spacing w:line="238" w:lineRule="atLeast"/>
    </w:pPr>
    <w:rPr>
      <w:rFonts w:cs="Times New Roman"/>
      <w:color w:val="auto"/>
    </w:rPr>
  </w:style>
  <w:style w:type="paragraph" w:customStyle="1" w:styleId="50">
    <w:name w:val="前言、引言标题"/>
    <w:next w:val="1"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character" w:customStyle="1" w:styleId="51">
    <w:name w:val="纯文本 Char"/>
    <w:basedOn w:val="21"/>
    <w:link w:val="11"/>
    <w:uiPriority w:val="0"/>
    <w:rPr>
      <w:rFonts w:ascii="宋体" w:hAnsi="Courier New" w:eastAsia="宋体" w:cs="Courier New"/>
      <w:szCs w:val="21"/>
    </w:rPr>
  </w:style>
  <w:style w:type="character" w:customStyle="1" w:styleId="52">
    <w:name w:val="日期 Char"/>
    <w:basedOn w:val="21"/>
    <w:link w:val="12"/>
    <w:uiPriority w:val="0"/>
    <w:rPr>
      <w:rFonts w:ascii="Times New Roman" w:hAnsi="Times New Roman" w:eastAsia="宋体" w:cs="Times New Roman"/>
      <w:szCs w:val="24"/>
    </w:rPr>
  </w:style>
  <w:style w:type="paragraph" w:customStyle="1" w:styleId="53">
    <w:name w:val="CM1"/>
    <w:basedOn w:val="40"/>
    <w:next w:val="40"/>
    <w:uiPriority w:val="0"/>
    <w:rPr>
      <w:rFonts w:cs="Times New Roman"/>
      <w:color w:val="auto"/>
    </w:rPr>
  </w:style>
  <w:style w:type="paragraph" w:customStyle="1" w:styleId="54">
    <w:name w:val="五级条标题"/>
    <w:basedOn w:val="46"/>
    <w:next w:val="1"/>
    <w:uiPriority w:val="0"/>
    <w:pPr>
      <w:outlineLvl w:val="6"/>
    </w:pPr>
  </w:style>
  <w:style w:type="paragraph" w:customStyle="1" w:styleId="55">
    <w:name w:val="Example"/>
    <w:basedOn w:val="1"/>
    <w:next w:val="1"/>
    <w:uiPriority w:val="0"/>
    <w:pPr>
      <w:widowControl/>
      <w:tabs>
        <w:tab w:val="left" w:pos="1360"/>
      </w:tabs>
      <w:spacing w:after="240" w:line="209" w:lineRule="auto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56">
    <w:name w:val="正文文本缩进 Char"/>
    <w:basedOn w:val="21"/>
    <w:link w:val="9"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7">
    <w:name w:val="Char Char Char Char Char Char 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58">
    <w:name w:val="apple-converted-space"/>
    <w:basedOn w:val="21"/>
    <w:uiPriority w:val="0"/>
  </w:style>
  <w:style w:type="character" w:customStyle="1" w:styleId="59">
    <w:name w:val="文档结构图 Char"/>
    <w:basedOn w:val="21"/>
    <w:link w:val="7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60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lang w:eastAsia="en-US"/>
    </w:rPr>
  </w:style>
  <w:style w:type="paragraph" w:customStyle="1" w:styleId="61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character" w:styleId="62">
    <w:name w:val="Placeholder Text"/>
    <w:basedOn w:val="21"/>
    <w:semiHidden/>
    <w:uiPriority w:val="99"/>
    <w:rPr>
      <w:color w:val="808080"/>
    </w:rPr>
  </w:style>
  <w:style w:type="paragraph" w:customStyle="1" w:styleId="63">
    <w:name w:val="标准文件_段"/>
    <w:link w:val="72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4">
    <w:name w:val="标准文件_二级条标题"/>
    <w:next w:val="63"/>
    <w:uiPriority w:val="0"/>
    <w:pPr>
      <w:widowControl w:val="0"/>
      <w:spacing w:beforeLines="50" w:afterLines="50"/>
      <w:jc w:val="both"/>
      <w:outlineLvl w:val="2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65">
    <w:name w:val="标准文件_三级条标题"/>
    <w:basedOn w:val="64"/>
    <w:next w:val="63"/>
    <w:uiPriority w:val="0"/>
    <w:pPr>
      <w:widowControl/>
      <w:outlineLvl w:val="3"/>
    </w:pPr>
  </w:style>
  <w:style w:type="paragraph" w:customStyle="1" w:styleId="66">
    <w:name w:val="标准文件_四级条标题"/>
    <w:next w:val="63"/>
    <w:uiPriority w:val="0"/>
    <w:pPr>
      <w:widowControl w:val="0"/>
      <w:spacing w:beforeLines="50" w:afterLines="50"/>
      <w:jc w:val="both"/>
      <w:outlineLvl w:val="4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67">
    <w:name w:val="标准文件_五级条标题"/>
    <w:next w:val="63"/>
    <w:uiPriority w:val="0"/>
    <w:pPr>
      <w:widowControl w:val="0"/>
      <w:spacing w:beforeLines="50" w:afterLines="50"/>
      <w:jc w:val="both"/>
      <w:outlineLvl w:val="5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68">
    <w:name w:val="标准文件_章标题"/>
    <w:next w:val="63"/>
    <w:uiPriority w:val="0"/>
    <w:pPr>
      <w:spacing w:beforeLines="100" w:afterLines="100"/>
      <w:jc w:val="both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69">
    <w:name w:val="标准文件_一级条标题"/>
    <w:basedOn w:val="68"/>
    <w:next w:val="63"/>
    <w:uiPriority w:val="0"/>
    <w:pPr>
      <w:spacing w:beforeLines="50" w:afterLines="50"/>
      <w:outlineLvl w:val="1"/>
    </w:pPr>
  </w:style>
  <w:style w:type="paragraph" w:customStyle="1" w:styleId="70">
    <w:name w:val="前言标题"/>
    <w:next w:val="1"/>
    <w:uiPriority w:val="0"/>
    <w:pPr>
      <w:numPr>
        <w:ilvl w:val="2"/>
        <w:numId w:val="1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71">
    <w:name w:val="标准文件_注："/>
    <w:next w:val="63"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72">
    <w:name w:val="标准文件_段 Char"/>
    <w:link w:val="63"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73">
    <w:name w:val="标准文件_术语条一"/>
    <w:basedOn w:val="1"/>
    <w:next w:val="63"/>
    <w:qFormat/>
    <w:uiPriority w:val="0"/>
    <w:pPr>
      <w:widowControl/>
    </w:pPr>
    <w:rPr>
      <w:rFonts w:ascii="宋体"/>
      <w:kern w:val="0"/>
      <w:szCs w:val="20"/>
    </w:rPr>
  </w:style>
  <w:style w:type="paragraph" w:customStyle="1" w:styleId="74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5">
    <w:name w:val="short_text"/>
    <w:uiPriority w:val="0"/>
  </w:style>
  <w:style w:type="character" w:customStyle="1" w:styleId="76">
    <w:name w:val="段 Char"/>
    <w:link w:val="48"/>
    <w:uiPriority w:val="0"/>
    <w:rPr>
      <w:rFonts w:ascii="宋体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2053</Words>
  <Characters>2836</Characters>
  <Lines>27</Lines>
  <Paragraphs>7</Paragraphs>
  <TotalTime>49</TotalTime>
  <ScaleCrop>false</ScaleCrop>
  <LinksUpToDate>false</LinksUpToDate>
  <CharactersWithSpaces>3245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2019-01-28T06:22:00Z</dcterms:created>
  <dc:creator>dell</dc:creator>
  <cp:lastModifiedBy>Bruis Kim</cp:lastModifiedBy>
  <dcterms:modified xsi:type="dcterms:W3CDTF">2022-11-14T11:14:25Z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56D85EAF94C24307AE299EDAAC30BB41</vt:lpwstr>
  </property>
</Properties>
</file>